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C91" w:rsidRDefault="004B3C91" w:rsidP="002052DF">
      <w:pPr>
        <w:spacing w:line="360" w:lineRule="auto"/>
        <w:jc w:val="center"/>
        <w:rPr>
          <w:b/>
          <w:bCs/>
        </w:rPr>
      </w:pPr>
      <w:r>
        <w:rPr>
          <w:b/>
          <w:bCs/>
        </w:rPr>
        <w:t>IPO AT ICICI BANK</w:t>
      </w:r>
    </w:p>
    <w:p w:rsidR="004B3C91" w:rsidRPr="004B3C91" w:rsidRDefault="00C53D29" w:rsidP="002052DF">
      <w:pPr>
        <w:spacing w:line="360" w:lineRule="auto"/>
        <w:jc w:val="center"/>
        <w:rPr>
          <w:b/>
          <w:bCs/>
        </w:rPr>
      </w:pPr>
      <w:r>
        <w:rPr>
          <w:b/>
          <w:bCs/>
        </w:rPr>
        <w:t>TELIKA RAMU</w:t>
      </w:r>
      <w:bookmarkStart w:id="0" w:name="_GoBack"/>
      <w:bookmarkEnd w:id="0"/>
    </w:p>
    <w:p w:rsidR="0066080F" w:rsidRPr="002052DF" w:rsidRDefault="002052DF" w:rsidP="002052DF">
      <w:pPr>
        <w:spacing w:line="360" w:lineRule="auto"/>
        <w:jc w:val="center"/>
        <w:rPr>
          <w:b/>
          <w:bCs/>
          <w:i/>
          <w:iCs/>
        </w:rPr>
      </w:pPr>
      <w:r w:rsidRPr="002052DF">
        <w:rPr>
          <w:b/>
          <w:bCs/>
          <w:i/>
          <w:iCs/>
        </w:rPr>
        <w:t>ABSTRACT</w:t>
      </w:r>
    </w:p>
    <w:p w:rsidR="00953F34" w:rsidRPr="002052DF" w:rsidRDefault="00953F34" w:rsidP="0066080F">
      <w:pPr>
        <w:spacing w:line="360" w:lineRule="auto"/>
        <w:jc w:val="both"/>
        <w:rPr>
          <w:i/>
          <w:iCs/>
        </w:rPr>
      </w:pPr>
      <w:r w:rsidRPr="002052DF">
        <w:rPr>
          <w:i/>
          <w:iCs/>
        </w:rPr>
        <w:t>When a business (referred to as the issuer) offers common stock or shares to the public for the first time, it is referred to as an initial public offering (IPO). They are often issued by smaller, younger businesses seeking money to grow, but they may also be issued by big privately held businesses wanting to go public.</w:t>
      </w:r>
    </w:p>
    <w:p w:rsidR="00953F34" w:rsidRPr="002052DF" w:rsidRDefault="00953F34" w:rsidP="0066080F">
      <w:pPr>
        <w:spacing w:line="360" w:lineRule="auto"/>
        <w:jc w:val="both"/>
        <w:rPr>
          <w:i/>
          <w:iCs/>
        </w:rPr>
      </w:pPr>
      <w:r w:rsidRPr="002052DF">
        <w:rPr>
          <w:i/>
          <w:iCs/>
        </w:rPr>
        <w:t>In an IPO, an underwriting company may assist the issuer in determining what kind of securities to issue (common or preferred), the optimum offering price, and the best timing to bring it to market.</w:t>
      </w:r>
    </w:p>
    <w:p w:rsidR="00953F34" w:rsidRPr="002052DF" w:rsidRDefault="00953F34" w:rsidP="0066080F">
      <w:pPr>
        <w:spacing w:line="360" w:lineRule="auto"/>
        <w:jc w:val="both"/>
        <w:rPr>
          <w:i/>
          <w:iCs/>
        </w:rPr>
      </w:pPr>
      <w:r w:rsidRPr="002052DF">
        <w:rPr>
          <w:i/>
          <w:iCs/>
        </w:rPr>
        <w:t>An initial public offering (IPO) is a high-risk investment. Because there is frequently no previous data with which to evaluate the business, it is difficult for an individual investor to anticipate what the stock or shares will perform on its first day of trade and soon. Furthermore, most IPOs are businesses in the midst of a temporary growth phase, adding to the uncertainty around their future worth.</w:t>
      </w:r>
    </w:p>
    <w:p w:rsidR="002052DF" w:rsidRPr="002052DF" w:rsidRDefault="002052DF" w:rsidP="002052DF">
      <w:pPr>
        <w:pStyle w:val="ListParagraph"/>
        <w:numPr>
          <w:ilvl w:val="0"/>
          <w:numId w:val="39"/>
        </w:numPr>
        <w:spacing w:line="360" w:lineRule="auto"/>
        <w:jc w:val="center"/>
        <w:rPr>
          <w:rFonts w:ascii="Times New Roman" w:hAnsi="Times New Roman"/>
          <w:b/>
          <w:bCs/>
          <w:sz w:val="24"/>
          <w:szCs w:val="24"/>
        </w:rPr>
      </w:pPr>
      <w:r w:rsidRPr="002052DF">
        <w:rPr>
          <w:rFonts w:ascii="Times New Roman" w:hAnsi="Times New Roman"/>
          <w:b/>
          <w:bCs/>
          <w:sz w:val="24"/>
          <w:szCs w:val="24"/>
        </w:rPr>
        <w:t>INTRODUCTION</w:t>
      </w:r>
    </w:p>
    <w:p w:rsidR="00953F34" w:rsidRPr="0066080F" w:rsidRDefault="00953F34" w:rsidP="0066080F">
      <w:pPr>
        <w:spacing w:line="360" w:lineRule="auto"/>
        <w:jc w:val="both"/>
      </w:pPr>
      <w:r w:rsidRPr="0066080F">
        <w:t>The capital market is a prerequisite for a country's industrial and commercial growth. The capital market is an institutional structure that enables long-term money borrowing and lending. We may split the capital market into two parts: main and secondary markets. The main market, also known as the new issue market, is where new issues are sold. It refers to the main market, which is where new securities, such as shares or bonds, are sold for the first time. The significance of this research is that it examines the IPO scrip's from 2015 to 2019. This research was based on the discrepancies between the issue price and the LTP. To determine if the initial public offerings (IPOs) are overpriced or underpriced. The investor determines whether he or she has made a profit or a loss. The research was carried out using just two parameters: issue price and LTP. We may characterise the scrip as overpriced or underpriced based on the disparities between LTP and Issue price. Other variables aren't taken into account. This research reveals that sector-specific scrips are either overvalued or underpriced. In this research, the advantages of an IPO are identified, as well as guidelines and recommendations for investors. The investor should consider the business before making a decision. By investing in a variety of assets, a smart investor may diversify his portfolio and minimise his risk. In a short amount of time, primary market returns are extremely attractive, particularly on the day of listing. However, investors in initial public offerings (IPOs) should make informed decisions when selecting the finest business.</w:t>
      </w:r>
    </w:p>
    <w:p w:rsidR="00953F34" w:rsidRPr="002052DF" w:rsidRDefault="002052DF" w:rsidP="002052DF">
      <w:pPr>
        <w:pStyle w:val="ListParagraph"/>
        <w:numPr>
          <w:ilvl w:val="0"/>
          <w:numId w:val="39"/>
        </w:numPr>
        <w:spacing w:line="360" w:lineRule="auto"/>
        <w:jc w:val="center"/>
        <w:rPr>
          <w:b/>
        </w:rPr>
      </w:pPr>
      <w:r w:rsidRPr="002052DF">
        <w:rPr>
          <w:rFonts w:ascii="Times New Roman" w:hAnsi="Times New Roman"/>
          <w:b/>
          <w:sz w:val="24"/>
          <w:szCs w:val="24"/>
        </w:rPr>
        <w:t>THE STUDY'S NEED AND IMPORTA</w:t>
      </w:r>
      <w:r w:rsidR="00953F34" w:rsidRPr="002052DF">
        <w:rPr>
          <w:b/>
        </w:rPr>
        <w:t>NCE:</w:t>
      </w:r>
    </w:p>
    <w:p w:rsidR="00953F34" w:rsidRPr="0066080F" w:rsidRDefault="00953F34" w:rsidP="0066080F">
      <w:pPr>
        <w:spacing w:line="360" w:lineRule="auto"/>
        <w:jc w:val="both"/>
      </w:pPr>
      <w:r w:rsidRPr="0066080F">
        <w:t xml:space="preserve">This research may help investors make informed choices about IPO investments. Studying the IPO process may help you understand the different processes, requirements, and requirements that a business must meet </w:t>
      </w:r>
      <w:r w:rsidRPr="0066080F">
        <w:lastRenderedPageBreak/>
        <w:t>to make an IPO. The process of analysing the success and failure of previous IPOs reveals the choices that must be made for an IPO to be successful.</w:t>
      </w:r>
    </w:p>
    <w:p w:rsidR="00953F34" w:rsidRPr="002052DF" w:rsidRDefault="002052DF" w:rsidP="002052DF">
      <w:pPr>
        <w:pStyle w:val="ListParagraph"/>
        <w:numPr>
          <w:ilvl w:val="0"/>
          <w:numId w:val="39"/>
        </w:numPr>
        <w:spacing w:line="360" w:lineRule="auto"/>
        <w:jc w:val="center"/>
        <w:rPr>
          <w:rFonts w:ascii="Times New Roman" w:hAnsi="Times New Roman"/>
          <w:b/>
          <w:sz w:val="24"/>
          <w:szCs w:val="24"/>
        </w:rPr>
      </w:pPr>
      <w:r w:rsidRPr="002052DF">
        <w:rPr>
          <w:rFonts w:ascii="Times New Roman" w:hAnsi="Times New Roman"/>
          <w:b/>
          <w:sz w:val="24"/>
          <w:szCs w:val="24"/>
        </w:rPr>
        <w:t>THE STUDY'S OBJECTIVES INCLUDE:</w:t>
      </w:r>
    </w:p>
    <w:p w:rsidR="00953F34" w:rsidRPr="0066080F" w:rsidRDefault="00953F34" w:rsidP="0066080F">
      <w:pPr>
        <w:spacing w:line="360" w:lineRule="auto"/>
        <w:jc w:val="both"/>
      </w:pPr>
      <w:r w:rsidRPr="0066080F">
        <w:t>1. The major goal of this project is to conduct research on trends in the primary market from 2016 to 2020, with a focus on LTP (Last Traded Price) and Issue Price.</w:t>
      </w:r>
    </w:p>
    <w:p w:rsidR="00953F34" w:rsidRPr="0066080F" w:rsidRDefault="00953F34" w:rsidP="0066080F">
      <w:pPr>
        <w:spacing w:line="360" w:lineRule="auto"/>
        <w:jc w:val="both"/>
      </w:pPr>
      <w:r w:rsidRPr="0066080F">
        <w:t>2. To investigate the disparity between LTP and Issue Price of various scraps in various industries.</w:t>
      </w:r>
    </w:p>
    <w:p w:rsidR="00953F34" w:rsidRPr="0066080F" w:rsidRDefault="00953F34" w:rsidP="0066080F">
      <w:pPr>
        <w:spacing w:line="360" w:lineRule="auto"/>
        <w:jc w:val="both"/>
      </w:pPr>
      <w:r w:rsidRPr="0066080F">
        <w:t>3. Based on the difference between LTP and Issue Price, determine if the Issue Price is overpriced or underpriced.</w:t>
      </w:r>
    </w:p>
    <w:p w:rsidR="00953F34" w:rsidRPr="002052DF" w:rsidRDefault="002052DF" w:rsidP="002052DF">
      <w:pPr>
        <w:pStyle w:val="ListParagraph"/>
        <w:numPr>
          <w:ilvl w:val="0"/>
          <w:numId w:val="39"/>
        </w:numPr>
        <w:spacing w:line="360" w:lineRule="auto"/>
        <w:jc w:val="center"/>
        <w:rPr>
          <w:rFonts w:ascii="Times New Roman" w:hAnsi="Times New Roman"/>
          <w:b/>
          <w:sz w:val="24"/>
          <w:szCs w:val="24"/>
        </w:rPr>
      </w:pPr>
      <w:r w:rsidRPr="002052DF">
        <w:rPr>
          <w:rFonts w:ascii="Times New Roman" w:hAnsi="Times New Roman"/>
          <w:b/>
          <w:sz w:val="24"/>
          <w:szCs w:val="24"/>
        </w:rPr>
        <w:t>THE STUDY'S OBJECTIVE:</w:t>
      </w:r>
    </w:p>
    <w:p w:rsidR="00953F34" w:rsidRPr="0066080F" w:rsidRDefault="00953F34" w:rsidP="0066080F">
      <w:pPr>
        <w:spacing w:line="360" w:lineRule="auto"/>
        <w:jc w:val="both"/>
      </w:pPr>
      <w:r w:rsidRPr="0066080F">
        <w:t>The research is limited to the main market NSE listed stocks. Only the LTP and Issue price are used to determine if the scrip is underpriced or overpriced, with no other factors taken into account. Only the years 2016-2020 are included in this research. The research looks at a variety of stocks from different industries.</w:t>
      </w:r>
    </w:p>
    <w:p w:rsidR="00953F34" w:rsidRPr="002052DF" w:rsidRDefault="002052DF" w:rsidP="002052DF">
      <w:pPr>
        <w:pStyle w:val="ListParagraph"/>
        <w:numPr>
          <w:ilvl w:val="0"/>
          <w:numId w:val="39"/>
        </w:numPr>
        <w:spacing w:line="360" w:lineRule="auto"/>
        <w:jc w:val="center"/>
        <w:rPr>
          <w:rFonts w:ascii="Times New Roman" w:hAnsi="Times New Roman"/>
          <w:b/>
          <w:sz w:val="24"/>
          <w:szCs w:val="24"/>
        </w:rPr>
      </w:pPr>
      <w:r w:rsidRPr="002052DF">
        <w:rPr>
          <w:rFonts w:ascii="Times New Roman" w:hAnsi="Times New Roman"/>
          <w:b/>
          <w:sz w:val="24"/>
          <w:szCs w:val="24"/>
        </w:rPr>
        <w:t>METHODOLOGY OF RESEARCH</w:t>
      </w:r>
    </w:p>
    <w:p w:rsidR="00953F34" w:rsidRPr="0066080F" w:rsidRDefault="00953F34" w:rsidP="0066080F">
      <w:pPr>
        <w:spacing w:line="360" w:lineRule="auto"/>
        <w:jc w:val="both"/>
      </w:pPr>
      <w:r w:rsidRPr="0066080F">
        <w:t>Primary and secondary data gathering techniques are included in the data collection procedures.</w:t>
      </w:r>
    </w:p>
    <w:p w:rsidR="00953F34" w:rsidRPr="0066080F" w:rsidRDefault="00953F34" w:rsidP="0066080F">
      <w:pPr>
        <w:spacing w:line="360" w:lineRule="auto"/>
        <w:jc w:val="both"/>
      </w:pPr>
      <w:r w:rsidRPr="0066080F">
        <w:t>Primary Data: This approach comprises information gathered through personal interactions with ICICI BANK LIMITED authorised members.</w:t>
      </w:r>
    </w:p>
    <w:p w:rsidR="00953F34" w:rsidRPr="008B7D6D" w:rsidRDefault="00953F34" w:rsidP="0066080F">
      <w:pPr>
        <w:spacing w:line="360" w:lineRule="auto"/>
        <w:jc w:val="both"/>
        <w:rPr>
          <w:b/>
        </w:rPr>
      </w:pPr>
      <w:r w:rsidRPr="008B7D6D">
        <w:rPr>
          <w:b/>
        </w:rPr>
        <w:t>Secondary Data: The following are examples of secondary data collecting methods:</w:t>
      </w:r>
    </w:p>
    <w:p w:rsidR="00953F34" w:rsidRPr="0066080F" w:rsidRDefault="00953F34" w:rsidP="0066080F">
      <w:pPr>
        <w:spacing w:line="360" w:lineRule="auto"/>
        <w:jc w:val="both"/>
      </w:pPr>
      <w:r w:rsidRPr="0066080F">
        <w:t>The superintendents of several departments gave the lectures.</w:t>
      </w:r>
    </w:p>
    <w:p w:rsidR="00953F34" w:rsidRPr="0066080F" w:rsidRDefault="00953F34" w:rsidP="0066080F">
      <w:pPr>
        <w:spacing w:line="360" w:lineRule="auto"/>
        <w:jc w:val="both"/>
      </w:pPr>
      <w:r w:rsidRPr="0066080F">
        <w:t>ICICI BANK LIMITED supplied the brochures and materials. The information was gathered from NSE publications, the Economic Times, the NSE website, and other sources.</w:t>
      </w:r>
    </w:p>
    <w:p w:rsidR="00953F34" w:rsidRPr="0066080F" w:rsidRDefault="00953F34" w:rsidP="0066080F">
      <w:pPr>
        <w:spacing w:line="360" w:lineRule="auto"/>
        <w:jc w:val="both"/>
      </w:pPr>
      <w:r w:rsidRPr="0066080F">
        <w:t>Several books about investing, financial markets, and other relevant subjects.</w:t>
      </w:r>
    </w:p>
    <w:p w:rsidR="00953F34" w:rsidRPr="008B7D6D" w:rsidRDefault="00953F34" w:rsidP="0066080F">
      <w:pPr>
        <w:spacing w:line="360" w:lineRule="auto"/>
        <w:jc w:val="both"/>
        <w:rPr>
          <w:b/>
        </w:rPr>
      </w:pPr>
      <w:r w:rsidRPr="008B7D6D">
        <w:rPr>
          <w:b/>
        </w:rPr>
        <w:t>ANALYSIS TOOLS INCLUDE:</w:t>
      </w:r>
    </w:p>
    <w:p w:rsidR="00953F34" w:rsidRPr="0066080F" w:rsidRDefault="00953F34" w:rsidP="0066080F">
      <w:pPr>
        <w:spacing w:line="360" w:lineRule="auto"/>
        <w:jc w:val="both"/>
      </w:pPr>
      <w:r w:rsidRPr="0066080F">
        <w:t>1) TABULATION: A table is a method of arranging statistical data in rows and columns in a systematic manner. Rows are arranged horizontally, while columns are arranged vertically. Tabulation is a method of presenting data in a way that allows it to be analysed and interpreted.</w:t>
      </w:r>
    </w:p>
    <w:p w:rsidR="00953F34" w:rsidRPr="0066080F" w:rsidRDefault="00953F34" w:rsidP="0066080F">
      <w:pPr>
        <w:spacing w:line="360" w:lineRule="auto"/>
        <w:jc w:val="both"/>
      </w:pPr>
      <w:r w:rsidRPr="0066080F">
        <w:t>The following are the tables that were used:</w:t>
      </w:r>
    </w:p>
    <w:p w:rsidR="00953F34" w:rsidRPr="0066080F" w:rsidRDefault="00953F34" w:rsidP="0066080F">
      <w:pPr>
        <w:spacing w:line="360" w:lineRule="auto"/>
        <w:jc w:val="both"/>
      </w:pPr>
      <w:r w:rsidRPr="0066080F">
        <w:t>a) One-way table: It only shows one feature and therefore can only be used to answer one or more independent queries about that characteristic.</w:t>
      </w:r>
    </w:p>
    <w:p w:rsidR="00953F34" w:rsidRDefault="00953F34" w:rsidP="0066080F">
      <w:pPr>
        <w:spacing w:line="360" w:lineRule="auto"/>
        <w:jc w:val="both"/>
      </w:pPr>
      <w:r w:rsidRPr="0066080F">
        <w:t>b) Two-way table: It includes sub-divisions of a total and may answer two mutually dependent queries.</w:t>
      </w:r>
    </w:p>
    <w:p w:rsidR="00953F34" w:rsidRDefault="00953F34" w:rsidP="0066080F">
      <w:pPr>
        <w:spacing w:line="360" w:lineRule="auto"/>
        <w:jc w:val="both"/>
      </w:pPr>
      <w:r w:rsidRPr="0066080F">
        <w:t xml:space="preserve">2) DATA REPRESENTATION IN DIAGRAMETIC AND GRAPHICAL FORMAT: A picture is worth a thousand words. A picture's impression has a much larger effect than any amount of comprehensive explanation. Diagrams and graphs may be used to efficiently display statistical data. Complex data is made </w:t>
      </w:r>
      <w:r w:rsidRPr="0066080F">
        <w:lastRenderedPageBreak/>
        <w:t>easy and comprehensible using graphs and diagrams. They aid in the comparison of similar data and the exaggeration of delicate data.</w:t>
      </w:r>
    </w:p>
    <w:p w:rsidR="008B7D6D" w:rsidRPr="0066080F" w:rsidRDefault="008B7D6D" w:rsidP="0066080F">
      <w:pPr>
        <w:spacing w:line="360" w:lineRule="auto"/>
        <w:jc w:val="both"/>
      </w:pPr>
    </w:p>
    <w:p w:rsidR="00953F34" w:rsidRDefault="00953F34" w:rsidP="0066080F">
      <w:pPr>
        <w:spacing w:line="360" w:lineRule="auto"/>
        <w:jc w:val="both"/>
      </w:pPr>
      <w:r w:rsidRPr="0066080F">
        <w:t>The following is the diagram that was used:</w:t>
      </w:r>
    </w:p>
    <w:p w:rsidR="008B7D6D" w:rsidRPr="0066080F" w:rsidRDefault="008B7D6D" w:rsidP="0066080F">
      <w:pPr>
        <w:spacing w:line="360" w:lineRule="auto"/>
        <w:jc w:val="both"/>
      </w:pPr>
    </w:p>
    <w:p w:rsidR="00953F34" w:rsidRPr="0066080F" w:rsidRDefault="00953F34" w:rsidP="0066080F">
      <w:pPr>
        <w:spacing w:line="360" w:lineRule="auto"/>
        <w:jc w:val="both"/>
      </w:pPr>
      <w:r w:rsidRPr="0066080F">
        <w:t>a) Bar graphs: Bar graphs are used to represent categorical data or series. They are made up of a set of equidistant rectangles, one for each group or category of data, with magnitude values indicated by rectangle length or height.</w:t>
      </w:r>
    </w:p>
    <w:p w:rsidR="00953F34" w:rsidRPr="0066080F" w:rsidRDefault="00953F34" w:rsidP="0066080F">
      <w:pPr>
        <w:spacing w:line="360" w:lineRule="auto"/>
        <w:jc w:val="both"/>
      </w:pPr>
    </w:p>
    <w:p w:rsidR="00953F34" w:rsidRPr="0066080F" w:rsidRDefault="00953F34" w:rsidP="0066080F">
      <w:pPr>
        <w:spacing w:line="360" w:lineRule="auto"/>
        <w:jc w:val="both"/>
      </w:pPr>
      <w:r w:rsidRPr="0066080F">
        <w:t>b) Sample Bar Diagram: This diagram is used to compare two or more characteristics of a single variable or data category.</w:t>
      </w:r>
    </w:p>
    <w:p w:rsidR="00953F34" w:rsidRPr="0066080F" w:rsidRDefault="00953F34" w:rsidP="0066080F">
      <w:pPr>
        <w:spacing w:line="360" w:lineRule="auto"/>
        <w:jc w:val="both"/>
      </w:pPr>
    </w:p>
    <w:p w:rsidR="00953F34" w:rsidRPr="002052DF" w:rsidRDefault="002052DF" w:rsidP="002052DF">
      <w:pPr>
        <w:pStyle w:val="ListParagraph"/>
        <w:numPr>
          <w:ilvl w:val="0"/>
          <w:numId w:val="39"/>
        </w:numPr>
        <w:spacing w:line="360" w:lineRule="auto"/>
        <w:jc w:val="center"/>
        <w:rPr>
          <w:b/>
        </w:rPr>
      </w:pPr>
      <w:r w:rsidRPr="002052DF">
        <w:rPr>
          <w:rFonts w:ascii="Times New Roman" w:hAnsi="Times New Roman"/>
          <w:b/>
          <w:sz w:val="24"/>
          <w:szCs w:val="24"/>
        </w:rPr>
        <w:t>THE STUDY'S LIMITATIONS INCLUDE</w:t>
      </w:r>
      <w:r w:rsidR="00953F34" w:rsidRPr="002052DF">
        <w:rPr>
          <w:b/>
        </w:rPr>
        <w:t>:</w:t>
      </w:r>
    </w:p>
    <w:p w:rsidR="00953F34" w:rsidRPr="0066080F" w:rsidRDefault="00953F34" w:rsidP="0066080F">
      <w:pPr>
        <w:spacing w:line="360" w:lineRule="auto"/>
        <w:jc w:val="both"/>
      </w:pPr>
      <w:r w:rsidRPr="0066080F">
        <w:t>An excellent report sells the study's findings. However, each project has its unique set of constraints. These restrictions may be in the form of</w:t>
      </w:r>
    </w:p>
    <w:p w:rsidR="00953F34" w:rsidRPr="0066080F" w:rsidRDefault="00953F34" w:rsidP="0066080F">
      <w:pPr>
        <w:spacing w:line="360" w:lineRule="auto"/>
        <w:jc w:val="both"/>
      </w:pPr>
      <w:r w:rsidRPr="0066080F">
        <w:t>1) Due to time constraints and course requirements, the project does not cover the whole main market.</w:t>
      </w:r>
    </w:p>
    <w:p w:rsidR="00953F34" w:rsidRPr="0066080F" w:rsidRDefault="00953F34" w:rsidP="0066080F">
      <w:pPr>
        <w:spacing w:line="360" w:lineRule="auto"/>
        <w:jc w:val="both"/>
      </w:pPr>
      <w:r w:rsidRPr="0066080F">
        <w:t>2) Due to time constraints, the project does not examine all problems within each area. It considers a variety of topics that are chosen at random.</w:t>
      </w:r>
    </w:p>
    <w:p w:rsidR="00953F34" w:rsidRPr="0066080F" w:rsidRDefault="00953F34" w:rsidP="0066080F">
      <w:pPr>
        <w:spacing w:line="360" w:lineRule="auto"/>
        <w:jc w:val="both"/>
      </w:pPr>
      <w:r w:rsidRPr="0066080F">
        <w:t>3) Data is limited to a certain time period: the data under examination is from 2016 to 2020. The previous years are not taken into account.</w:t>
      </w:r>
    </w:p>
    <w:p w:rsidR="00953F34" w:rsidRPr="0066080F" w:rsidRDefault="00953F34" w:rsidP="0066080F">
      <w:pPr>
        <w:spacing w:line="360" w:lineRule="auto"/>
        <w:jc w:val="both"/>
      </w:pPr>
      <w:r w:rsidRPr="0066080F">
        <w:t>4) Partial fulfilment: The project examined does not meet all criteria because owing to time constraints and course restrictions, it does not examine the whole main market. It barely meets a portion of the criteria since it only looks at a few key elements of the main market.</w:t>
      </w:r>
    </w:p>
    <w:p w:rsidR="00953F34" w:rsidRPr="0066080F" w:rsidRDefault="00953F34" w:rsidP="0066080F">
      <w:pPr>
        <w:spacing w:line="360" w:lineRule="auto"/>
        <w:jc w:val="both"/>
      </w:pPr>
      <w:r w:rsidRPr="0066080F">
        <w:t>5) Approximate findings: Because no precise data is available, the results are approximate.</w:t>
      </w:r>
    </w:p>
    <w:p w:rsidR="00953F34" w:rsidRPr="0066080F" w:rsidRDefault="00953F34" w:rsidP="0066080F">
      <w:pPr>
        <w:spacing w:line="360" w:lineRule="auto"/>
        <w:jc w:val="both"/>
      </w:pPr>
      <w:r w:rsidRPr="0066080F">
        <w:t>6) For determining whether an issue is overpriced or underpriced, the study solely considers LTP and issue prices, as well as their differences.</w:t>
      </w:r>
    </w:p>
    <w:p w:rsidR="006761B4" w:rsidRPr="0066080F" w:rsidRDefault="00953F34" w:rsidP="0066080F">
      <w:pPr>
        <w:spacing w:line="360" w:lineRule="auto"/>
        <w:jc w:val="both"/>
      </w:pPr>
      <w:r w:rsidRPr="0066080F">
        <w:t>7) The research is limited to topics listed on the NSE.</w:t>
      </w:r>
    </w:p>
    <w:p w:rsidR="006761B4" w:rsidRPr="0066080F" w:rsidRDefault="006761B4" w:rsidP="0066080F">
      <w:pPr>
        <w:spacing w:line="360" w:lineRule="auto"/>
        <w:jc w:val="both"/>
      </w:pPr>
    </w:p>
    <w:p w:rsidR="00DB376D" w:rsidRPr="002052DF" w:rsidRDefault="002052DF" w:rsidP="002052DF">
      <w:pPr>
        <w:pStyle w:val="Title"/>
        <w:numPr>
          <w:ilvl w:val="0"/>
          <w:numId w:val="39"/>
        </w:numPr>
        <w:spacing w:before="0" w:line="360" w:lineRule="auto"/>
        <w:ind w:right="60"/>
        <w:rPr>
          <w:rFonts w:ascii="Times New Roman" w:hAnsi="Times New Roman" w:cs="Times New Roman"/>
          <w:sz w:val="24"/>
          <w:szCs w:val="24"/>
        </w:rPr>
      </w:pPr>
      <w:r w:rsidRPr="002052DF">
        <w:rPr>
          <w:rFonts w:ascii="Times New Roman" w:hAnsi="Times New Roman" w:cs="Times New Roman"/>
          <w:sz w:val="24"/>
          <w:szCs w:val="24"/>
        </w:rPr>
        <w:t>LITERATURE</w:t>
      </w:r>
      <w:r w:rsidRPr="002052DF">
        <w:rPr>
          <w:rFonts w:ascii="Times New Roman" w:hAnsi="Times New Roman" w:cs="Times New Roman"/>
          <w:spacing w:val="-2"/>
          <w:sz w:val="24"/>
          <w:szCs w:val="24"/>
        </w:rPr>
        <w:t xml:space="preserve"> </w:t>
      </w:r>
      <w:r w:rsidRPr="002052DF">
        <w:rPr>
          <w:rFonts w:ascii="Times New Roman" w:hAnsi="Times New Roman" w:cs="Times New Roman"/>
          <w:sz w:val="24"/>
          <w:szCs w:val="24"/>
        </w:rPr>
        <w:t>REVIEW</w:t>
      </w:r>
    </w:p>
    <w:p w:rsidR="00953F34" w:rsidRPr="0066080F" w:rsidRDefault="00953F34" w:rsidP="0066080F">
      <w:pPr>
        <w:pStyle w:val="BodyText"/>
        <w:spacing w:line="360" w:lineRule="auto"/>
        <w:ind w:right="60"/>
        <w:jc w:val="both"/>
      </w:pPr>
      <w:r w:rsidRPr="0066080F">
        <w:t>The Researcher examines any previously published work on the subject. Books, periodicals, newspapers, and websites are used to evaluate the relevant material. The following is a thorough analysis: -</w:t>
      </w:r>
    </w:p>
    <w:p w:rsidR="00953F34" w:rsidRPr="0066080F" w:rsidRDefault="00953F34" w:rsidP="0066080F">
      <w:pPr>
        <w:pStyle w:val="BodyText"/>
        <w:spacing w:line="360" w:lineRule="auto"/>
        <w:ind w:right="60"/>
        <w:jc w:val="both"/>
      </w:pPr>
      <w:r w:rsidRPr="0066080F">
        <w:lastRenderedPageBreak/>
        <w:t>In his essay ‘Investments in IPOs in the Indian Capital Market,' published in Bimaquest (2003), Arwah Arjun Madan concludes that in the long term (five years after listing), the return on IPOs is drastically reduced; returns are shown to be negative from the second to the fifth year after listing.</w:t>
      </w:r>
    </w:p>
    <w:p w:rsidR="00953F34" w:rsidRPr="0066080F" w:rsidRDefault="00953F34" w:rsidP="0066080F">
      <w:pPr>
        <w:pStyle w:val="BodyText"/>
        <w:spacing w:line="360" w:lineRule="auto"/>
        <w:ind w:right="60"/>
        <w:jc w:val="both"/>
      </w:pPr>
      <w:r w:rsidRPr="0066080F">
        <w:t>In his article “New Listings — Pied Pipers of the Primary Market,” published in Business Today in 2010, Anand Adhikari points out that businesses with innovative business strategies were listed in 2009-10, making their investors wealthy.</w:t>
      </w:r>
    </w:p>
    <w:p w:rsidR="00953F34" w:rsidRPr="0066080F" w:rsidRDefault="00953F34" w:rsidP="0066080F">
      <w:pPr>
        <w:pStyle w:val="BodyText"/>
        <w:spacing w:line="360" w:lineRule="auto"/>
        <w:ind w:right="60"/>
        <w:jc w:val="both"/>
      </w:pPr>
      <w:r w:rsidRPr="0066080F">
        <w:t>Promoters are rushing to IPO because they don't want to be left out, according to Atul Mehra (2010), "IPO Boom," Business Today.</w:t>
      </w:r>
    </w:p>
    <w:p w:rsidR="00953F34" w:rsidRPr="0066080F" w:rsidRDefault="00953F34" w:rsidP="0066080F">
      <w:pPr>
        <w:pStyle w:val="BodyText"/>
        <w:spacing w:line="360" w:lineRule="auto"/>
        <w:ind w:right="60"/>
        <w:jc w:val="both"/>
      </w:pPr>
      <w:r w:rsidRPr="0066080F">
        <w:t>The authors of Aggarwal, R., and Conroy, P. (2000), “Price Discovery in Initial Public Offers and the Role of the Lead Underwriter,” Journal of Finance, find that the price discovery process of initial public offerings (IPOs) is based on a single dataset. Even for hot IPOs, the lead underwriter's first quotation submitted in the five-minute preopening window explains a significant part of early returns. Hundreds of quotations are submitted within these five minutes, resulting in significant learning and price discovery. The lead underwriter watches how other market makers, especially wholesalers, quote and adjusts his own quotations appropriately. The time of day when trading in an IPO begins has a significant positive connection with early results.</w:t>
      </w:r>
    </w:p>
    <w:p w:rsidR="00953F34" w:rsidRPr="0066080F" w:rsidRDefault="00953F34" w:rsidP="0066080F">
      <w:pPr>
        <w:pStyle w:val="BodyText"/>
        <w:spacing w:line="360" w:lineRule="auto"/>
        <w:ind w:right="60"/>
        <w:jc w:val="both"/>
      </w:pPr>
      <w:r w:rsidRPr="0066080F">
        <w:t>In their paper “Stock Price Decision of Indian Investors,” published in The Indian Journal of Commerce, Ansari Abdul Aziz and Jane Samiran (2009) found that rational traders use both fundamental and technical analysis as stock selection methods, contradicting the perspective of finance theorists.</w:t>
      </w:r>
    </w:p>
    <w:p w:rsidR="00953F34" w:rsidRPr="0066080F" w:rsidRDefault="00953F34" w:rsidP="0066080F">
      <w:pPr>
        <w:pStyle w:val="BodyText"/>
        <w:spacing w:line="360" w:lineRule="auto"/>
        <w:ind w:right="60"/>
        <w:jc w:val="both"/>
      </w:pPr>
      <w:r w:rsidRPr="0066080F">
        <w:t>The development of portfolio stock inflows is the most remarkable aspect of the shift in cross-border capital flows to developing market economies throughout the 1990s, according to Bhupal Sing (2009) in his essay "Changing Contours of Capital Flows to India," published in Economic and Political Weekly. It was also claimed that portfolio investment in India began in 1993 with FIIs' equity and debt investments in Indian stock markets, as well as Indian corporate offers of ADRs and GDRs on the global market. The turnover of FIIs accounts for a substantial portion of stock cash sector turnover. The asset values of the stocks have a high potential for volatility.</w:t>
      </w:r>
    </w:p>
    <w:p w:rsidR="00953F34" w:rsidRPr="0066080F" w:rsidRDefault="00953F34" w:rsidP="0066080F">
      <w:pPr>
        <w:pStyle w:val="BodyText"/>
        <w:spacing w:line="360" w:lineRule="auto"/>
        <w:ind w:right="60"/>
        <w:jc w:val="both"/>
      </w:pPr>
      <w:r w:rsidRPr="0066080F">
        <w:t xml:space="preserve">In their article “Stabilization, Syndication, and Pricing of IPOs,” published in Journal of Financial and Quantitative Analysis, B. Chowdhry and V. Nanda argue that in after-market trading of an IPO, the underwriting syndicate compensates uninformed investors ex-post for the adverse selection cost they face by standing ready to buy back shares at the offer price (“price stabilisation”). Ex-ante compensation is dominated by underpricing. The rationale for this is because stability makes use of ex-post knowledge regarding investor demand while underpricing requires ex-ante data. However, liquidity and syndication </w:t>
      </w:r>
      <w:r w:rsidRPr="0066080F">
        <w:lastRenderedPageBreak/>
        <w:t>costs limit the use of stabilisation, resulting in some underpricing in the end. We construct a model that formalises this intuition and produces several empirical consequences.</w:t>
      </w:r>
    </w:p>
    <w:p w:rsidR="00953F34" w:rsidRPr="0066080F" w:rsidRDefault="00953F34" w:rsidP="0066080F">
      <w:pPr>
        <w:pStyle w:val="BodyText"/>
        <w:spacing w:line="360" w:lineRule="auto"/>
        <w:ind w:right="60"/>
        <w:jc w:val="both"/>
      </w:pPr>
      <w:r w:rsidRPr="0066080F">
        <w:t>In his article “Capital Market in India and Abroad – A Comparative Analysis,” published in the Indian Journal of Accounting in December, Dhananjay Rakshit (2008) concluded that the Indian market continues to be preferred by foreign investors, with the only cause for concern being its high analysed volatility.</w:t>
      </w:r>
    </w:p>
    <w:p w:rsidR="00953F34" w:rsidRPr="0066080F" w:rsidRDefault="00953F34" w:rsidP="0066080F">
      <w:pPr>
        <w:pStyle w:val="BodyText"/>
        <w:spacing w:line="360" w:lineRule="auto"/>
        <w:ind w:right="60"/>
        <w:jc w:val="both"/>
      </w:pPr>
      <w:r w:rsidRPr="0066080F">
        <w:t>Coal India's initial public offering (IPO) has generated high expectations among investors, according to Dhruv Gogoi (2010) in his article "Big, Bold, and Beautiful?" published in Businessworld.</w:t>
      </w:r>
    </w:p>
    <w:p w:rsidR="00953F34" w:rsidRPr="0066080F" w:rsidRDefault="00953F34" w:rsidP="0066080F">
      <w:pPr>
        <w:pStyle w:val="BodyText"/>
        <w:spacing w:line="360" w:lineRule="auto"/>
        <w:ind w:right="60"/>
        <w:jc w:val="both"/>
      </w:pPr>
      <w:r w:rsidRPr="0066080F">
        <w:t>The Financial Express released an article by FE Bureau titled "India may begin global IPO rebound." According to the 2009 Ernst &amp; Young Institutional Investor IPO Survey, IPOs in these developing countries will show signs of recovery by the end of the year. According to the poll of more than 300 institutional investors, India and Brazil are the most likely to lead the recovery in terms of new forms joining the local capital market by the end of 2009. IPO activity in the past two quarters shows that markets are recovering quickly, particularly in India, China, and Brazil, which are developing economies. The resurgence of IPO activity has been fueled by a stable government and a growing Sensex.</w:t>
      </w:r>
    </w:p>
    <w:p w:rsidR="00953F34" w:rsidRPr="0066080F" w:rsidRDefault="00953F34" w:rsidP="0066080F">
      <w:pPr>
        <w:pStyle w:val="BodyText"/>
        <w:spacing w:line="360" w:lineRule="auto"/>
        <w:ind w:right="60"/>
        <w:jc w:val="both"/>
      </w:pPr>
      <w:r w:rsidRPr="0066080F">
        <w:t>In his essay "IPOs: More Misses Than Hits," published in the Dalal Street Investment, Jagannadham Thunuguntla (2011) pointed out that the age-old concept of knowing the business and adhering to the fundamentals should be respected. Allow the buyer to be aware that the investor must assign value to his hard-earned cash. Investor knowledge and awareness are required, and the relationships should be based on a steady income rather than getting wealthy quickly.</w:t>
      </w:r>
    </w:p>
    <w:p w:rsidR="00953F34" w:rsidRPr="002052DF" w:rsidRDefault="002052DF" w:rsidP="002052DF">
      <w:pPr>
        <w:pStyle w:val="BodyText"/>
        <w:numPr>
          <w:ilvl w:val="0"/>
          <w:numId w:val="39"/>
        </w:numPr>
        <w:spacing w:line="360" w:lineRule="auto"/>
        <w:ind w:right="60"/>
        <w:jc w:val="center"/>
        <w:rPr>
          <w:b/>
          <w:bCs/>
        </w:rPr>
      </w:pPr>
      <w:r w:rsidRPr="002052DF">
        <w:rPr>
          <w:b/>
          <w:bCs/>
        </w:rPr>
        <w:t>DATA ANALYSIS</w:t>
      </w:r>
    </w:p>
    <w:p w:rsidR="00EB2FF1" w:rsidRPr="0066080F" w:rsidRDefault="00EB2FF1" w:rsidP="0066080F">
      <w:pPr>
        <w:spacing w:line="360" w:lineRule="auto"/>
        <w:jc w:val="both"/>
        <w:outlineLvl w:val="1"/>
        <w:rPr>
          <w:b/>
          <w:bCs/>
        </w:rPr>
      </w:pPr>
      <w:r w:rsidRPr="0066080F">
        <w:rPr>
          <w:b/>
          <w:bCs/>
        </w:rPr>
        <w:t>IPO Issues in20</w:t>
      </w:r>
      <w:r w:rsidR="00AF48E0" w:rsidRPr="0066080F">
        <w:rPr>
          <w:b/>
          <w:bCs/>
        </w:rPr>
        <w:t>18</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7"/>
        <w:gridCol w:w="2069"/>
        <w:gridCol w:w="2651"/>
        <w:gridCol w:w="2374"/>
        <w:gridCol w:w="146"/>
      </w:tblGrid>
      <w:tr w:rsidR="00EB2FF1" w:rsidRPr="0066080F" w:rsidTr="005B1C6B">
        <w:trPr>
          <w:tblCellSpacing w:w="0" w:type="dxa"/>
        </w:trPr>
        <w:tc>
          <w:tcPr>
            <w:tcW w:w="0" w:type="auto"/>
            <w:vAlign w:val="center"/>
            <w:hideMark/>
          </w:tcPr>
          <w:p w:rsidR="00EB2FF1" w:rsidRPr="0066080F" w:rsidRDefault="00EB2FF1" w:rsidP="0066080F">
            <w:pPr>
              <w:spacing w:line="360" w:lineRule="auto"/>
              <w:jc w:val="both"/>
              <w:rPr>
                <w:b/>
                <w:bCs/>
              </w:rPr>
            </w:pPr>
            <w:r w:rsidRPr="0066080F">
              <w:rPr>
                <w:b/>
                <w:bCs/>
              </w:rPr>
              <w:t>Equity</w:t>
            </w:r>
          </w:p>
        </w:tc>
        <w:tc>
          <w:tcPr>
            <w:tcW w:w="0" w:type="auto"/>
            <w:vAlign w:val="center"/>
            <w:hideMark/>
          </w:tcPr>
          <w:p w:rsidR="00EB2FF1" w:rsidRPr="0066080F" w:rsidRDefault="00EB2FF1" w:rsidP="0066080F">
            <w:pPr>
              <w:spacing w:line="360" w:lineRule="auto"/>
              <w:jc w:val="both"/>
              <w:rPr>
                <w:b/>
                <w:bCs/>
              </w:rPr>
            </w:pPr>
            <w:r w:rsidRPr="0066080F">
              <w:rPr>
                <w:b/>
                <w:bCs/>
              </w:rPr>
              <w:t>Issue Price</w:t>
            </w:r>
          </w:p>
        </w:tc>
        <w:tc>
          <w:tcPr>
            <w:tcW w:w="0" w:type="auto"/>
            <w:vAlign w:val="center"/>
            <w:hideMark/>
          </w:tcPr>
          <w:p w:rsidR="00EB2FF1" w:rsidRPr="0066080F" w:rsidRDefault="00EB2FF1" w:rsidP="0066080F">
            <w:pPr>
              <w:spacing w:line="360" w:lineRule="auto"/>
              <w:jc w:val="both"/>
              <w:rPr>
                <w:b/>
                <w:bCs/>
              </w:rPr>
            </w:pPr>
            <w:r w:rsidRPr="0066080F">
              <w:rPr>
                <w:b/>
                <w:bCs/>
              </w:rPr>
              <w:t>Current Price</w:t>
            </w:r>
          </w:p>
        </w:tc>
        <w:tc>
          <w:tcPr>
            <w:tcW w:w="0" w:type="auto"/>
            <w:vAlign w:val="center"/>
            <w:hideMark/>
          </w:tcPr>
          <w:p w:rsidR="00EB2FF1" w:rsidRPr="0066080F" w:rsidRDefault="00EB2FF1" w:rsidP="0066080F">
            <w:pPr>
              <w:spacing w:line="360" w:lineRule="auto"/>
              <w:jc w:val="both"/>
              <w:rPr>
                <w:b/>
                <w:bCs/>
              </w:rPr>
            </w:pPr>
            <w:r w:rsidRPr="0066080F">
              <w:rPr>
                <w:b/>
                <w:bCs/>
              </w:rPr>
              <w:t>%Gain/Loss</w:t>
            </w:r>
          </w:p>
        </w:tc>
        <w:tc>
          <w:tcPr>
            <w:tcW w:w="0" w:type="auto"/>
            <w:vAlign w:val="center"/>
            <w:hideMark/>
          </w:tcPr>
          <w:p w:rsidR="00EB2FF1" w:rsidRPr="0066080F" w:rsidRDefault="00EB2FF1" w:rsidP="0066080F">
            <w:pPr>
              <w:spacing w:line="360" w:lineRule="auto"/>
              <w:jc w:val="both"/>
              <w:rPr>
                <w:b/>
                <w:bCs/>
              </w:rPr>
            </w:pPr>
            <w:r w:rsidRPr="0066080F">
              <w:rPr>
                <w:b/>
                <w:bCs/>
              </w:rPr>
              <w:t> </w:t>
            </w:r>
          </w:p>
        </w:tc>
      </w:tr>
      <w:tr w:rsidR="00EB2FF1" w:rsidRPr="0066080F" w:rsidTr="005B1C6B">
        <w:trPr>
          <w:tblCellSpacing w:w="0" w:type="dxa"/>
        </w:trPr>
        <w:tc>
          <w:tcPr>
            <w:tcW w:w="0" w:type="auto"/>
            <w:gridSpan w:val="5"/>
            <w:shd w:val="clear" w:color="auto" w:fill="E1E1E1"/>
            <w:vAlign w:val="center"/>
            <w:hideMark/>
          </w:tcPr>
          <w:p w:rsidR="00EB2FF1" w:rsidRPr="0066080F" w:rsidRDefault="00EB2FF1" w:rsidP="0066080F">
            <w:pPr>
              <w:spacing w:line="360" w:lineRule="auto"/>
              <w:jc w:val="both"/>
            </w:pPr>
            <w:r w:rsidRPr="0066080F">
              <w:t>  </w:t>
            </w:r>
            <w:r w:rsidRPr="0066080F">
              <w:rPr>
                <w:b/>
                <w:bCs/>
              </w:rPr>
              <w:t>November-20</w:t>
            </w:r>
            <w:r w:rsidR="00AF48E0" w:rsidRPr="0066080F">
              <w:rPr>
                <w:b/>
                <w:bCs/>
              </w:rPr>
              <w:t>18</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7" w:tgtFrame="_blank" w:history="1">
              <w:r w:rsidR="00EB2FF1" w:rsidRPr="0066080F">
                <w:t>Indo Thai Secu</w:t>
              </w:r>
            </w:hyperlink>
          </w:p>
        </w:tc>
        <w:tc>
          <w:tcPr>
            <w:tcW w:w="0" w:type="auto"/>
            <w:vAlign w:val="center"/>
            <w:hideMark/>
          </w:tcPr>
          <w:p w:rsidR="00EB2FF1" w:rsidRPr="0066080F" w:rsidRDefault="00EB2FF1" w:rsidP="0066080F">
            <w:pPr>
              <w:spacing w:line="360" w:lineRule="auto"/>
              <w:jc w:val="both"/>
            </w:pPr>
            <w:r w:rsidRPr="0066080F">
              <w:t>74.00</w:t>
            </w:r>
          </w:p>
        </w:tc>
        <w:tc>
          <w:tcPr>
            <w:tcW w:w="0" w:type="auto"/>
            <w:vAlign w:val="center"/>
            <w:hideMark/>
          </w:tcPr>
          <w:p w:rsidR="00EB2FF1" w:rsidRPr="0066080F" w:rsidRDefault="00AF48E0" w:rsidP="0066080F">
            <w:pPr>
              <w:spacing w:line="360" w:lineRule="auto"/>
              <w:jc w:val="both"/>
            </w:pPr>
            <w:r w:rsidRPr="0066080F">
              <w:t>16</w:t>
            </w:r>
            <w:r w:rsidR="00EB2FF1" w:rsidRPr="0066080F">
              <w:t>.93</w:t>
            </w:r>
          </w:p>
        </w:tc>
        <w:tc>
          <w:tcPr>
            <w:tcW w:w="0" w:type="auto"/>
            <w:vAlign w:val="center"/>
            <w:hideMark/>
          </w:tcPr>
          <w:p w:rsidR="00EB2FF1" w:rsidRPr="0066080F" w:rsidRDefault="00EB2FF1" w:rsidP="0066080F">
            <w:pPr>
              <w:spacing w:line="360" w:lineRule="auto"/>
              <w:jc w:val="both"/>
            </w:pPr>
            <w:r w:rsidRPr="0066080F">
              <w:t>-82.53</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gridSpan w:val="5"/>
            <w:shd w:val="clear" w:color="auto" w:fill="E1E1E1"/>
            <w:vAlign w:val="center"/>
            <w:hideMark/>
          </w:tcPr>
          <w:p w:rsidR="00EB2FF1" w:rsidRPr="0066080F" w:rsidRDefault="00EB2FF1" w:rsidP="0066080F">
            <w:pPr>
              <w:spacing w:line="360" w:lineRule="auto"/>
              <w:jc w:val="both"/>
            </w:pPr>
            <w:r w:rsidRPr="0066080F">
              <w:t>  </w:t>
            </w:r>
            <w:r w:rsidRPr="0066080F">
              <w:rPr>
                <w:b/>
                <w:bCs/>
              </w:rPr>
              <w:t>October-20</w:t>
            </w:r>
            <w:r w:rsidR="00AF48E0" w:rsidRPr="0066080F">
              <w:rPr>
                <w:b/>
                <w:bCs/>
              </w:rPr>
              <w:t>18</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8" w:tgtFrame="_blank" w:history="1">
              <w:r w:rsidR="00EB2FF1" w:rsidRPr="0066080F">
                <w:t>Vaswani Ind</w:t>
              </w:r>
            </w:hyperlink>
          </w:p>
        </w:tc>
        <w:tc>
          <w:tcPr>
            <w:tcW w:w="0" w:type="auto"/>
            <w:vAlign w:val="center"/>
            <w:hideMark/>
          </w:tcPr>
          <w:p w:rsidR="00EB2FF1" w:rsidRPr="0066080F" w:rsidRDefault="00EB2FF1" w:rsidP="0066080F">
            <w:pPr>
              <w:spacing w:line="360" w:lineRule="auto"/>
              <w:jc w:val="both"/>
            </w:pPr>
            <w:r w:rsidRPr="0066080F">
              <w:t>49.00</w:t>
            </w:r>
          </w:p>
        </w:tc>
        <w:tc>
          <w:tcPr>
            <w:tcW w:w="0" w:type="auto"/>
            <w:vAlign w:val="center"/>
            <w:hideMark/>
          </w:tcPr>
          <w:p w:rsidR="00EB2FF1" w:rsidRPr="0066080F" w:rsidRDefault="00AF48E0" w:rsidP="0066080F">
            <w:pPr>
              <w:spacing w:line="360" w:lineRule="auto"/>
              <w:jc w:val="both"/>
            </w:pPr>
            <w:r w:rsidRPr="0066080F">
              <w:t>20</w:t>
            </w:r>
            <w:r w:rsidR="00EB2FF1" w:rsidRPr="0066080F">
              <w:t>.99</w:t>
            </w:r>
          </w:p>
        </w:tc>
        <w:tc>
          <w:tcPr>
            <w:tcW w:w="0" w:type="auto"/>
            <w:vAlign w:val="center"/>
            <w:hideMark/>
          </w:tcPr>
          <w:p w:rsidR="00EB2FF1" w:rsidRPr="0066080F" w:rsidRDefault="00EB2FF1" w:rsidP="0066080F">
            <w:pPr>
              <w:spacing w:line="360" w:lineRule="auto"/>
              <w:jc w:val="both"/>
            </w:pPr>
            <w:r w:rsidRPr="0066080F">
              <w:t>-77.57</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9" w:tgtFrame="_blank" w:history="1">
              <w:r w:rsidR="00EB2FF1" w:rsidRPr="0066080F">
                <w:t>M and B Switch</w:t>
              </w:r>
            </w:hyperlink>
          </w:p>
        </w:tc>
        <w:tc>
          <w:tcPr>
            <w:tcW w:w="0" w:type="auto"/>
            <w:vAlign w:val="center"/>
            <w:hideMark/>
          </w:tcPr>
          <w:p w:rsidR="00EB2FF1" w:rsidRPr="0066080F" w:rsidRDefault="00AF48E0" w:rsidP="0066080F">
            <w:pPr>
              <w:spacing w:line="360" w:lineRule="auto"/>
              <w:jc w:val="both"/>
            </w:pPr>
            <w:r w:rsidRPr="0066080F">
              <w:t>20</w:t>
            </w:r>
            <w:r w:rsidR="00EB2FF1" w:rsidRPr="0066080F">
              <w:t>6.00</w:t>
            </w:r>
          </w:p>
        </w:tc>
        <w:tc>
          <w:tcPr>
            <w:tcW w:w="0" w:type="auto"/>
            <w:vAlign w:val="center"/>
            <w:hideMark/>
          </w:tcPr>
          <w:p w:rsidR="00EB2FF1" w:rsidRPr="0066080F" w:rsidRDefault="00EB2FF1" w:rsidP="0066080F">
            <w:pPr>
              <w:spacing w:line="360" w:lineRule="auto"/>
              <w:jc w:val="both"/>
            </w:pPr>
            <w:r w:rsidRPr="0066080F">
              <w:t>68.30</w:t>
            </w:r>
          </w:p>
        </w:tc>
        <w:tc>
          <w:tcPr>
            <w:tcW w:w="0" w:type="auto"/>
            <w:vAlign w:val="center"/>
            <w:hideMark/>
          </w:tcPr>
          <w:p w:rsidR="00EB2FF1" w:rsidRPr="0066080F" w:rsidRDefault="00EB2FF1" w:rsidP="0066080F">
            <w:pPr>
              <w:spacing w:line="360" w:lineRule="auto"/>
              <w:jc w:val="both"/>
            </w:pPr>
            <w:r w:rsidRPr="0066080F">
              <w:t>-63.28</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0" w:tgtFrame="_blank" w:history="1">
              <w:r w:rsidR="00EB2FF1" w:rsidRPr="0066080F">
                <w:t>Taksheel Solut</w:t>
              </w:r>
            </w:hyperlink>
          </w:p>
        </w:tc>
        <w:tc>
          <w:tcPr>
            <w:tcW w:w="0" w:type="auto"/>
            <w:vAlign w:val="center"/>
            <w:hideMark/>
          </w:tcPr>
          <w:p w:rsidR="00EB2FF1" w:rsidRPr="0066080F" w:rsidRDefault="00AF48E0" w:rsidP="0066080F">
            <w:pPr>
              <w:spacing w:line="360" w:lineRule="auto"/>
              <w:jc w:val="both"/>
            </w:pPr>
            <w:r w:rsidRPr="0066080F">
              <w:t>20</w:t>
            </w:r>
            <w:r w:rsidR="00EB2FF1" w:rsidRPr="0066080F">
              <w:t>0.00</w:t>
            </w:r>
          </w:p>
        </w:tc>
        <w:tc>
          <w:tcPr>
            <w:tcW w:w="0" w:type="auto"/>
            <w:vAlign w:val="center"/>
            <w:hideMark/>
          </w:tcPr>
          <w:p w:rsidR="00EB2FF1" w:rsidRPr="0066080F" w:rsidRDefault="00AF48E0" w:rsidP="0066080F">
            <w:pPr>
              <w:spacing w:line="360" w:lineRule="auto"/>
              <w:jc w:val="both"/>
            </w:pPr>
            <w:r w:rsidRPr="0066080F">
              <w:t>16</w:t>
            </w:r>
            <w:r w:rsidR="00EB2FF1" w:rsidRPr="0066080F">
              <w:t>.53</w:t>
            </w:r>
          </w:p>
        </w:tc>
        <w:tc>
          <w:tcPr>
            <w:tcW w:w="0" w:type="auto"/>
            <w:vAlign w:val="center"/>
            <w:hideMark/>
          </w:tcPr>
          <w:p w:rsidR="00EB2FF1" w:rsidRPr="0066080F" w:rsidRDefault="00EB2FF1" w:rsidP="0066080F">
            <w:pPr>
              <w:spacing w:line="360" w:lineRule="auto"/>
              <w:jc w:val="both"/>
            </w:pPr>
            <w:r w:rsidRPr="0066080F">
              <w:t>-90.98</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1" w:tgtFrame="_blank" w:history="1">
              <w:r w:rsidR="00EB2FF1" w:rsidRPr="0066080F">
                <w:t>Flexituff Inter</w:t>
              </w:r>
            </w:hyperlink>
          </w:p>
        </w:tc>
        <w:tc>
          <w:tcPr>
            <w:tcW w:w="0" w:type="auto"/>
            <w:vAlign w:val="center"/>
            <w:hideMark/>
          </w:tcPr>
          <w:p w:rsidR="00EB2FF1" w:rsidRPr="0066080F" w:rsidRDefault="00AF48E0" w:rsidP="0066080F">
            <w:pPr>
              <w:spacing w:line="360" w:lineRule="auto"/>
              <w:jc w:val="both"/>
            </w:pPr>
            <w:r w:rsidRPr="0066080F">
              <w:t>20</w:t>
            </w:r>
            <w:r w:rsidR="00EB2FF1" w:rsidRPr="0066080F">
              <w:t>5.00</w:t>
            </w:r>
          </w:p>
        </w:tc>
        <w:tc>
          <w:tcPr>
            <w:tcW w:w="0" w:type="auto"/>
            <w:vAlign w:val="center"/>
            <w:hideMark/>
          </w:tcPr>
          <w:p w:rsidR="00EB2FF1" w:rsidRPr="0066080F" w:rsidRDefault="00EB2FF1" w:rsidP="0066080F">
            <w:pPr>
              <w:spacing w:line="360" w:lineRule="auto"/>
              <w:jc w:val="both"/>
            </w:pPr>
            <w:r w:rsidRPr="0066080F">
              <w:t>249.70</w:t>
            </w:r>
          </w:p>
        </w:tc>
        <w:tc>
          <w:tcPr>
            <w:tcW w:w="0" w:type="auto"/>
            <w:vAlign w:val="center"/>
            <w:hideMark/>
          </w:tcPr>
          <w:p w:rsidR="00EB2FF1" w:rsidRPr="0066080F" w:rsidRDefault="00EB2FF1" w:rsidP="0066080F">
            <w:pPr>
              <w:spacing w:line="360" w:lineRule="auto"/>
              <w:jc w:val="both"/>
            </w:pPr>
            <w:r w:rsidRPr="0066080F">
              <w:t>61.</w:t>
            </w:r>
            <w:r w:rsidR="00AF48E0" w:rsidRPr="0066080F">
              <w:t>20</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2" w:tgtFrame="_blank" w:history="1">
              <w:r w:rsidR="00EB2FF1" w:rsidRPr="0066080F">
                <w:t>Onelife Capital</w:t>
              </w:r>
            </w:hyperlink>
          </w:p>
        </w:tc>
        <w:tc>
          <w:tcPr>
            <w:tcW w:w="0" w:type="auto"/>
            <w:vAlign w:val="center"/>
            <w:hideMark/>
          </w:tcPr>
          <w:p w:rsidR="00EB2FF1" w:rsidRPr="0066080F" w:rsidRDefault="00AF48E0" w:rsidP="0066080F">
            <w:pPr>
              <w:spacing w:line="360" w:lineRule="auto"/>
              <w:jc w:val="both"/>
            </w:pPr>
            <w:r w:rsidRPr="0066080F">
              <w:t>15</w:t>
            </w:r>
            <w:r w:rsidR="00EB2FF1" w:rsidRPr="0066080F">
              <w:t>7.00</w:t>
            </w:r>
          </w:p>
        </w:tc>
        <w:tc>
          <w:tcPr>
            <w:tcW w:w="0" w:type="auto"/>
            <w:vAlign w:val="center"/>
            <w:hideMark/>
          </w:tcPr>
          <w:p w:rsidR="00EB2FF1" w:rsidRPr="0066080F" w:rsidRDefault="00EB2FF1" w:rsidP="0066080F">
            <w:pPr>
              <w:spacing w:line="360" w:lineRule="auto"/>
              <w:jc w:val="both"/>
            </w:pPr>
            <w:r w:rsidRPr="0066080F">
              <w:t>299.20</w:t>
            </w:r>
          </w:p>
        </w:tc>
        <w:tc>
          <w:tcPr>
            <w:tcW w:w="0" w:type="auto"/>
            <w:vAlign w:val="center"/>
            <w:hideMark/>
          </w:tcPr>
          <w:p w:rsidR="00EB2FF1" w:rsidRPr="0066080F" w:rsidRDefault="00AF48E0" w:rsidP="0066080F">
            <w:pPr>
              <w:spacing w:line="360" w:lineRule="auto"/>
              <w:jc w:val="both"/>
            </w:pPr>
            <w:r w:rsidRPr="0066080F">
              <w:t>20</w:t>
            </w:r>
            <w:r w:rsidR="00EB2FF1" w:rsidRPr="0066080F">
              <w:t>2.00</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3" w:tgtFrame="_blank" w:history="1">
              <w:r w:rsidR="00EB2FF1" w:rsidRPr="0066080F">
                <w:t>Tijaria Polypip</w:t>
              </w:r>
            </w:hyperlink>
          </w:p>
        </w:tc>
        <w:tc>
          <w:tcPr>
            <w:tcW w:w="0" w:type="auto"/>
            <w:vAlign w:val="center"/>
            <w:hideMark/>
          </w:tcPr>
          <w:p w:rsidR="00EB2FF1" w:rsidRPr="0066080F" w:rsidRDefault="00EB2FF1" w:rsidP="0066080F">
            <w:pPr>
              <w:spacing w:line="360" w:lineRule="auto"/>
              <w:jc w:val="both"/>
            </w:pPr>
            <w:r w:rsidRPr="0066080F">
              <w:t>60.00</w:t>
            </w:r>
          </w:p>
        </w:tc>
        <w:tc>
          <w:tcPr>
            <w:tcW w:w="0" w:type="auto"/>
            <w:vAlign w:val="center"/>
            <w:hideMark/>
          </w:tcPr>
          <w:p w:rsidR="00EB2FF1" w:rsidRPr="0066080F" w:rsidRDefault="00EB2FF1" w:rsidP="0066080F">
            <w:pPr>
              <w:spacing w:line="360" w:lineRule="auto"/>
              <w:jc w:val="both"/>
            </w:pPr>
            <w:r w:rsidRPr="0066080F">
              <w:t>8.94</w:t>
            </w:r>
          </w:p>
        </w:tc>
        <w:tc>
          <w:tcPr>
            <w:tcW w:w="0" w:type="auto"/>
            <w:vAlign w:val="center"/>
            <w:hideMark/>
          </w:tcPr>
          <w:p w:rsidR="00EB2FF1" w:rsidRPr="0066080F" w:rsidRDefault="00EB2FF1" w:rsidP="0066080F">
            <w:pPr>
              <w:spacing w:line="360" w:lineRule="auto"/>
              <w:jc w:val="both"/>
            </w:pPr>
            <w:r w:rsidRPr="0066080F">
              <w:t>-85.</w:t>
            </w:r>
            <w:r w:rsidR="00AF48E0" w:rsidRPr="0066080F">
              <w:t>20</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4" w:tgtFrame="_blank" w:history="1">
              <w:r w:rsidR="00EB2FF1" w:rsidRPr="0066080F">
                <w:t>Prakash Constro</w:t>
              </w:r>
            </w:hyperlink>
          </w:p>
        </w:tc>
        <w:tc>
          <w:tcPr>
            <w:tcW w:w="0" w:type="auto"/>
            <w:vAlign w:val="center"/>
            <w:hideMark/>
          </w:tcPr>
          <w:p w:rsidR="00EB2FF1" w:rsidRPr="0066080F" w:rsidRDefault="00AF48E0" w:rsidP="0066080F">
            <w:pPr>
              <w:spacing w:line="360" w:lineRule="auto"/>
              <w:jc w:val="both"/>
            </w:pPr>
            <w:r w:rsidRPr="0066080F">
              <w:t>16</w:t>
            </w:r>
            <w:r w:rsidR="00EB2FF1" w:rsidRPr="0066080F">
              <w:t>8.00</w:t>
            </w:r>
          </w:p>
        </w:tc>
        <w:tc>
          <w:tcPr>
            <w:tcW w:w="0" w:type="auto"/>
            <w:vAlign w:val="center"/>
            <w:hideMark/>
          </w:tcPr>
          <w:p w:rsidR="00EB2FF1" w:rsidRPr="0066080F" w:rsidRDefault="00AF48E0" w:rsidP="0066080F">
            <w:pPr>
              <w:spacing w:line="360" w:lineRule="auto"/>
              <w:jc w:val="both"/>
            </w:pPr>
            <w:r w:rsidRPr="0066080F">
              <w:t>16</w:t>
            </w:r>
            <w:r w:rsidR="00EB2FF1" w:rsidRPr="0066080F">
              <w:t>1.70</w:t>
            </w:r>
          </w:p>
        </w:tc>
        <w:tc>
          <w:tcPr>
            <w:tcW w:w="0" w:type="auto"/>
            <w:vAlign w:val="center"/>
            <w:hideMark/>
          </w:tcPr>
          <w:p w:rsidR="00EB2FF1" w:rsidRPr="0066080F" w:rsidRDefault="00EB2FF1" w:rsidP="0066080F">
            <w:pPr>
              <w:spacing w:line="360" w:lineRule="auto"/>
              <w:jc w:val="both"/>
            </w:pPr>
            <w:r w:rsidRPr="0066080F">
              <w:t>-4.57</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gridSpan w:val="5"/>
            <w:shd w:val="clear" w:color="auto" w:fill="E1E1E1"/>
            <w:vAlign w:val="center"/>
            <w:hideMark/>
          </w:tcPr>
          <w:p w:rsidR="00EB2FF1" w:rsidRPr="0066080F" w:rsidRDefault="00EB2FF1" w:rsidP="0066080F">
            <w:pPr>
              <w:spacing w:line="360" w:lineRule="auto"/>
              <w:jc w:val="both"/>
            </w:pPr>
            <w:r w:rsidRPr="0066080F">
              <w:t>  </w:t>
            </w:r>
            <w:r w:rsidRPr="0066080F">
              <w:rPr>
                <w:b/>
                <w:bCs/>
              </w:rPr>
              <w:t>September-20</w:t>
            </w:r>
            <w:r w:rsidR="00AF48E0" w:rsidRPr="0066080F">
              <w:rPr>
                <w:b/>
                <w:bCs/>
              </w:rPr>
              <w:t>18</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5" w:tgtFrame="_blank" w:history="1">
              <w:r w:rsidR="00EB2FF1" w:rsidRPr="0066080F">
                <w:t>PG Electroplast</w:t>
              </w:r>
            </w:hyperlink>
          </w:p>
        </w:tc>
        <w:tc>
          <w:tcPr>
            <w:tcW w:w="0" w:type="auto"/>
            <w:vAlign w:val="center"/>
            <w:hideMark/>
          </w:tcPr>
          <w:p w:rsidR="00EB2FF1" w:rsidRPr="0066080F" w:rsidRDefault="00EB2FF1" w:rsidP="0066080F">
            <w:pPr>
              <w:spacing w:line="360" w:lineRule="auto"/>
              <w:jc w:val="both"/>
            </w:pPr>
            <w:r w:rsidRPr="0066080F">
              <w:t>2</w:t>
            </w:r>
            <w:r w:rsidR="00AF48E0" w:rsidRPr="0066080F">
              <w:t>20</w:t>
            </w:r>
            <w:r w:rsidRPr="0066080F">
              <w:t>.00</w:t>
            </w:r>
          </w:p>
        </w:tc>
        <w:tc>
          <w:tcPr>
            <w:tcW w:w="0" w:type="auto"/>
            <w:vAlign w:val="center"/>
            <w:hideMark/>
          </w:tcPr>
          <w:p w:rsidR="00EB2FF1" w:rsidRPr="0066080F" w:rsidRDefault="00AF48E0" w:rsidP="0066080F">
            <w:pPr>
              <w:spacing w:line="360" w:lineRule="auto"/>
              <w:jc w:val="both"/>
            </w:pPr>
            <w:r w:rsidRPr="0066080F">
              <w:t>20</w:t>
            </w:r>
            <w:r w:rsidR="00EB2FF1" w:rsidRPr="0066080F">
              <w:t>1.00</w:t>
            </w:r>
          </w:p>
        </w:tc>
        <w:tc>
          <w:tcPr>
            <w:tcW w:w="0" w:type="auto"/>
            <w:vAlign w:val="center"/>
            <w:hideMark/>
          </w:tcPr>
          <w:p w:rsidR="00EB2FF1" w:rsidRPr="0066080F" w:rsidRDefault="00EB2FF1" w:rsidP="0066080F">
            <w:pPr>
              <w:spacing w:line="360" w:lineRule="auto"/>
              <w:jc w:val="both"/>
            </w:pPr>
            <w:r w:rsidRPr="0066080F">
              <w:t>-</w:t>
            </w:r>
            <w:r w:rsidR="00AF48E0" w:rsidRPr="0066080F">
              <w:t>20</w:t>
            </w:r>
            <w:r w:rsidRPr="0066080F">
              <w:t>.57</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6" w:tgtFrame="_blank" w:history="1">
              <w:r w:rsidR="00EB2FF1" w:rsidRPr="0066080F">
                <w:t>SRS</w:t>
              </w:r>
            </w:hyperlink>
          </w:p>
        </w:tc>
        <w:tc>
          <w:tcPr>
            <w:tcW w:w="0" w:type="auto"/>
            <w:vAlign w:val="center"/>
            <w:hideMark/>
          </w:tcPr>
          <w:p w:rsidR="00EB2FF1" w:rsidRPr="0066080F" w:rsidRDefault="00EB2FF1" w:rsidP="0066080F">
            <w:pPr>
              <w:spacing w:line="360" w:lineRule="auto"/>
              <w:jc w:val="both"/>
            </w:pPr>
            <w:r w:rsidRPr="0066080F">
              <w:t>58.00</w:t>
            </w:r>
          </w:p>
        </w:tc>
        <w:tc>
          <w:tcPr>
            <w:tcW w:w="0" w:type="auto"/>
            <w:vAlign w:val="center"/>
            <w:hideMark/>
          </w:tcPr>
          <w:p w:rsidR="00EB2FF1" w:rsidRPr="0066080F" w:rsidRDefault="00EB2FF1" w:rsidP="0066080F">
            <w:pPr>
              <w:spacing w:line="360" w:lineRule="auto"/>
              <w:jc w:val="both"/>
            </w:pPr>
            <w:r w:rsidRPr="0066080F">
              <w:t>34.25</w:t>
            </w:r>
          </w:p>
        </w:tc>
        <w:tc>
          <w:tcPr>
            <w:tcW w:w="0" w:type="auto"/>
            <w:vAlign w:val="center"/>
            <w:hideMark/>
          </w:tcPr>
          <w:p w:rsidR="00EB2FF1" w:rsidRPr="0066080F" w:rsidRDefault="00EB2FF1" w:rsidP="0066080F">
            <w:pPr>
              <w:spacing w:line="360" w:lineRule="auto"/>
              <w:jc w:val="both"/>
            </w:pPr>
            <w:r w:rsidRPr="0066080F">
              <w:t>-40.95</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7" w:tgtFrame="_blank" w:history="1">
              <w:r w:rsidR="00EB2FF1" w:rsidRPr="0066080F">
                <w:t>TD Power System</w:t>
              </w:r>
            </w:hyperlink>
          </w:p>
        </w:tc>
        <w:tc>
          <w:tcPr>
            <w:tcW w:w="0" w:type="auto"/>
            <w:vAlign w:val="center"/>
            <w:hideMark/>
          </w:tcPr>
          <w:p w:rsidR="00EB2FF1" w:rsidRPr="0066080F" w:rsidRDefault="00EB2FF1" w:rsidP="0066080F">
            <w:pPr>
              <w:spacing w:line="360" w:lineRule="auto"/>
              <w:jc w:val="both"/>
            </w:pPr>
            <w:r w:rsidRPr="0066080F">
              <w:t>256.00</w:t>
            </w:r>
          </w:p>
        </w:tc>
        <w:tc>
          <w:tcPr>
            <w:tcW w:w="0" w:type="auto"/>
            <w:vAlign w:val="center"/>
            <w:hideMark/>
          </w:tcPr>
          <w:p w:rsidR="00EB2FF1" w:rsidRPr="0066080F" w:rsidRDefault="00EB2FF1" w:rsidP="0066080F">
            <w:pPr>
              <w:spacing w:line="360" w:lineRule="auto"/>
              <w:jc w:val="both"/>
            </w:pPr>
            <w:r w:rsidRPr="0066080F">
              <w:t>244.</w:t>
            </w:r>
            <w:r w:rsidR="00AF48E0" w:rsidRPr="0066080F">
              <w:t>14</w:t>
            </w:r>
          </w:p>
        </w:tc>
        <w:tc>
          <w:tcPr>
            <w:tcW w:w="0" w:type="auto"/>
            <w:vAlign w:val="center"/>
            <w:hideMark/>
          </w:tcPr>
          <w:p w:rsidR="00EB2FF1" w:rsidRPr="0066080F" w:rsidRDefault="00EB2FF1" w:rsidP="0066080F">
            <w:pPr>
              <w:spacing w:line="360" w:lineRule="auto"/>
              <w:jc w:val="both"/>
            </w:pPr>
            <w:r w:rsidRPr="0066080F">
              <w:t>-4.67</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8" w:tgtFrame="_blank" w:history="1">
              <w:r w:rsidR="00EB2FF1" w:rsidRPr="0066080F">
                <w:t>Brooks Labs</w:t>
              </w:r>
            </w:hyperlink>
          </w:p>
        </w:tc>
        <w:tc>
          <w:tcPr>
            <w:tcW w:w="0" w:type="auto"/>
            <w:vAlign w:val="center"/>
            <w:hideMark/>
          </w:tcPr>
          <w:p w:rsidR="00EB2FF1" w:rsidRPr="0066080F" w:rsidRDefault="00AF48E0" w:rsidP="0066080F">
            <w:pPr>
              <w:spacing w:line="360" w:lineRule="auto"/>
              <w:jc w:val="both"/>
            </w:pPr>
            <w:r w:rsidRPr="0066080F">
              <w:t>20</w:t>
            </w:r>
            <w:r w:rsidR="00EB2FF1" w:rsidRPr="0066080F">
              <w:t>0.00</w:t>
            </w:r>
          </w:p>
        </w:tc>
        <w:tc>
          <w:tcPr>
            <w:tcW w:w="0" w:type="auto"/>
            <w:vAlign w:val="center"/>
            <w:hideMark/>
          </w:tcPr>
          <w:p w:rsidR="00EB2FF1" w:rsidRPr="0066080F" w:rsidRDefault="00AF48E0" w:rsidP="0066080F">
            <w:pPr>
              <w:spacing w:line="360" w:lineRule="auto"/>
              <w:jc w:val="both"/>
            </w:pPr>
            <w:r w:rsidRPr="0066080F">
              <w:t>18</w:t>
            </w:r>
            <w:r w:rsidR="00EB2FF1" w:rsidRPr="0066080F">
              <w:t>.</w:t>
            </w:r>
            <w:r w:rsidRPr="0066080F">
              <w:t>16</w:t>
            </w:r>
          </w:p>
        </w:tc>
        <w:tc>
          <w:tcPr>
            <w:tcW w:w="0" w:type="auto"/>
            <w:vAlign w:val="center"/>
            <w:hideMark/>
          </w:tcPr>
          <w:p w:rsidR="00EB2FF1" w:rsidRPr="0066080F" w:rsidRDefault="00EB2FF1" w:rsidP="0066080F">
            <w:pPr>
              <w:spacing w:line="360" w:lineRule="auto"/>
              <w:jc w:val="both"/>
            </w:pPr>
            <w:r w:rsidRPr="0066080F">
              <w:t>-85.92</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gridSpan w:val="5"/>
            <w:shd w:val="clear" w:color="auto" w:fill="E1E1E1"/>
            <w:vAlign w:val="center"/>
            <w:hideMark/>
          </w:tcPr>
          <w:p w:rsidR="00EB2FF1" w:rsidRPr="0066080F" w:rsidRDefault="00EB2FF1" w:rsidP="0066080F">
            <w:pPr>
              <w:spacing w:line="360" w:lineRule="auto"/>
              <w:jc w:val="both"/>
            </w:pPr>
            <w:r w:rsidRPr="0066080F">
              <w:t>  </w:t>
            </w:r>
            <w:r w:rsidRPr="0066080F">
              <w:rPr>
                <w:b/>
                <w:bCs/>
              </w:rPr>
              <w:t>August-20</w:t>
            </w:r>
            <w:r w:rsidR="00AF48E0" w:rsidRPr="0066080F">
              <w:rPr>
                <w:b/>
                <w:bCs/>
              </w:rPr>
              <w:t>18</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19" w:tgtFrame="_blank" w:history="1">
              <w:r w:rsidR="00EB2FF1" w:rsidRPr="0066080F">
                <w:t>Tree House Edu</w:t>
              </w:r>
            </w:hyperlink>
          </w:p>
        </w:tc>
        <w:tc>
          <w:tcPr>
            <w:tcW w:w="0" w:type="auto"/>
            <w:vAlign w:val="center"/>
            <w:hideMark/>
          </w:tcPr>
          <w:p w:rsidR="00EB2FF1" w:rsidRPr="0066080F" w:rsidRDefault="00AF48E0" w:rsidP="0066080F">
            <w:pPr>
              <w:spacing w:line="360" w:lineRule="auto"/>
              <w:jc w:val="both"/>
            </w:pPr>
            <w:r w:rsidRPr="0066080F">
              <w:t>16</w:t>
            </w:r>
            <w:r w:rsidR="00EB2FF1" w:rsidRPr="0066080F">
              <w:t>5.00</w:t>
            </w:r>
          </w:p>
        </w:tc>
        <w:tc>
          <w:tcPr>
            <w:tcW w:w="0" w:type="auto"/>
            <w:vAlign w:val="center"/>
            <w:hideMark/>
          </w:tcPr>
          <w:p w:rsidR="00EB2FF1" w:rsidRPr="0066080F" w:rsidRDefault="00EB2FF1" w:rsidP="0066080F">
            <w:pPr>
              <w:spacing w:line="360" w:lineRule="auto"/>
              <w:jc w:val="both"/>
            </w:pPr>
            <w:r w:rsidRPr="0066080F">
              <w:t>2</w:t>
            </w:r>
            <w:r w:rsidR="00AF48E0" w:rsidRPr="0066080F">
              <w:t>18</w:t>
            </w:r>
            <w:r w:rsidRPr="0066080F">
              <w:t>.</w:t>
            </w:r>
            <w:r w:rsidR="00AF48E0" w:rsidRPr="0066080F">
              <w:t>20</w:t>
            </w:r>
          </w:p>
        </w:tc>
        <w:tc>
          <w:tcPr>
            <w:tcW w:w="0" w:type="auto"/>
            <w:vAlign w:val="center"/>
            <w:hideMark/>
          </w:tcPr>
          <w:p w:rsidR="00EB2FF1" w:rsidRPr="0066080F" w:rsidRDefault="00EB2FF1" w:rsidP="0066080F">
            <w:pPr>
              <w:spacing w:line="360" w:lineRule="auto"/>
              <w:jc w:val="both"/>
            </w:pPr>
            <w:r w:rsidRPr="0066080F">
              <w:t>58.63</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20" w:tgtFrame="_blank" w:history="1">
              <w:r w:rsidR="00EB2FF1" w:rsidRPr="0066080F">
                <w:t>L&amp;T Finance</w:t>
              </w:r>
            </w:hyperlink>
          </w:p>
        </w:tc>
        <w:tc>
          <w:tcPr>
            <w:tcW w:w="0" w:type="auto"/>
            <w:vAlign w:val="center"/>
            <w:hideMark/>
          </w:tcPr>
          <w:p w:rsidR="00EB2FF1" w:rsidRPr="0066080F" w:rsidRDefault="00EB2FF1" w:rsidP="0066080F">
            <w:pPr>
              <w:spacing w:line="360" w:lineRule="auto"/>
              <w:jc w:val="both"/>
            </w:pPr>
            <w:r w:rsidRPr="0066080F">
              <w:t>52.00</w:t>
            </w:r>
          </w:p>
        </w:tc>
        <w:tc>
          <w:tcPr>
            <w:tcW w:w="0" w:type="auto"/>
            <w:vAlign w:val="center"/>
            <w:hideMark/>
          </w:tcPr>
          <w:p w:rsidR="00EB2FF1" w:rsidRPr="0066080F" w:rsidRDefault="00EB2FF1" w:rsidP="0066080F">
            <w:pPr>
              <w:spacing w:line="360" w:lineRule="auto"/>
              <w:jc w:val="both"/>
            </w:pPr>
            <w:r w:rsidRPr="0066080F">
              <w:t>48.95</w:t>
            </w:r>
          </w:p>
        </w:tc>
        <w:tc>
          <w:tcPr>
            <w:tcW w:w="0" w:type="auto"/>
            <w:vAlign w:val="center"/>
            <w:hideMark/>
          </w:tcPr>
          <w:p w:rsidR="00EB2FF1" w:rsidRPr="0066080F" w:rsidRDefault="00EB2FF1" w:rsidP="0066080F">
            <w:pPr>
              <w:spacing w:line="360" w:lineRule="auto"/>
              <w:jc w:val="both"/>
            </w:pPr>
            <w:r w:rsidRPr="0066080F">
              <w:t>-5.87</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21" w:tgtFrame="_blank" w:history="1">
              <w:r w:rsidR="00EB2FF1" w:rsidRPr="0066080F">
                <w:t>Inventure Grow</w:t>
              </w:r>
            </w:hyperlink>
          </w:p>
        </w:tc>
        <w:tc>
          <w:tcPr>
            <w:tcW w:w="0" w:type="auto"/>
            <w:vAlign w:val="center"/>
            <w:hideMark/>
          </w:tcPr>
          <w:p w:rsidR="00EB2FF1" w:rsidRPr="0066080F" w:rsidRDefault="00AF48E0" w:rsidP="0066080F">
            <w:pPr>
              <w:spacing w:line="360" w:lineRule="auto"/>
              <w:jc w:val="both"/>
            </w:pPr>
            <w:r w:rsidRPr="0066080F">
              <w:t>15</w:t>
            </w:r>
            <w:r w:rsidR="00EB2FF1" w:rsidRPr="0066080F">
              <w:t>7.00</w:t>
            </w:r>
          </w:p>
        </w:tc>
        <w:tc>
          <w:tcPr>
            <w:tcW w:w="0" w:type="auto"/>
            <w:vAlign w:val="center"/>
            <w:hideMark/>
          </w:tcPr>
          <w:p w:rsidR="00EB2FF1" w:rsidRPr="0066080F" w:rsidRDefault="00EB2FF1" w:rsidP="0066080F">
            <w:pPr>
              <w:spacing w:line="360" w:lineRule="auto"/>
              <w:jc w:val="both"/>
            </w:pPr>
            <w:r w:rsidRPr="0066080F">
              <w:t>2</w:t>
            </w:r>
            <w:r w:rsidR="00AF48E0" w:rsidRPr="0066080F">
              <w:t>20</w:t>
            </w:r>
            <w:r w:rsidRPr="0066080F">
              <w:t>.20</w:t>
            </w:r>
          </w:p>
        </w:tc>
        <w:tc>
          <w:tcPr>
            <w:tcW w:w="0" w:type="auto"/>
            <w:vAlign w:val="center"/>
            <w:hideMark/>
          </w:tcPr>
          <w:p w:rsidR="00EB2FF1" w:rsidRPr="0066080F" w:rsidRDefault="00EB2FF1" w:rsidP="0066080F">
            <w:pPr>
              <w:spacing w:line="360" w:lineRule="auto"/>
              <w:jc w:val="both"/>
            </w:pPr>
            <w:r w:rsidRPr="0066080F">
              <w:t>79.66</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gridSpan w:val="5"/>
            <w:shd w:val="clear" w:color="auto" w:fill="E1E1E1"/>
            <w:vAlign w:val="center"/>
            <w:hideMark/>
          </w:tcPr>
          <w:p w:rsidR="00EB2FF1" w:rsidRPr="0066080F" w:rsidRDefault="00EB2FF1" w:rsidP="0066080F">
            <w:pPr>
              <w:spacing w:line="360" w:lineRule="auto"/>
              <w:jc w:val="both"/>
            </w:pPr>
            <w:r w:rsidRPr="0066080F">
              <w:t>  </w:t>
            </w:r>
            <w:r w:rsidRPr="0066080F">
              <w:rPr>
                <w:b/>
                <w:bCs/>
              </w:rPr>
              <w:t>July-20</w:t>
            </w:r>
            <w:r w:rsidR="00AF48E0" w:rsidRPr="0066080F">
              <w:rPr>
                <w:b/>
                <w:bCs/>
              </w:rPr>
              <w:t>18</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22" w:tgtFrame="_blank" w:history="1">
              <w:r w:rsidR="00EB2FF1" w:rsidRPr="0066080F">
                <w:t>Readymade Steel</w:t>
              </w:r>
            </w:hyperlink>
          </w:p>
        </w:tc>
        <w:tc>
          <w:tcPr>
            <w:tcW w:w="0" w:type="auto"/>
            <w:vAlign w:val="center"/>
            <w:hideMark/>
          </w:tcPr>
          <w:p w:rsidR="00EB2FF1" w:rsidRPr="0066080F" w:rsidRDefault="00AF48E0" w:rsidP="0066080F">
            <w:pPr>
              <w:spacing w:line="360" w:lineRule="auto"/>
              <w:jc w:val="both"/>
            </w:pPr>
            <w:r w:rsidRPr="0066080F">
              <w:t>20</w:t>
            </w:r>
            <w:r w:rsidR="00EB2FF1" w:rsidRPr="0066080F">
              <w:t>8.00</w:t>
            </w:r>
          </w:p>
        </w:tc>
        <w:tc>
          <w:tcPr>
            <w:tcW w:w="0" w:type="auto"/>
            <w:vAlign w:val="center"/>
            <w:hideMark/>
          </w:tcPr>
          <w:p w:rsidR="00EB2FF1" w:rsidRPr="0066080F" w:rsidRDefault="00EB2FF1" w:rsidP="0066080F">
            <w:pPr>
              <w:spacing w:line="360" w:lineRule="auto"/>
              <w:jc w:val="both"/>
            </w:pPr>
            <w:r w:rsidRPr="0066080F">
              <w:t>63.75</w:t>
            </w:r>
          </w:p>
        </w:tc>
        <w:tc>
          <w:tcPr>
            <w:tcW w:w="0" w:type="auto"/>
            <w:vAlign w:val="center"/>
            <w:hideMark/>
          </w:tcPr>
          <w:p w:rsidR="00EB2FF1" w:rsidRPr="0066080F" w:rsidRDefault="00EB2FF1" w:rsidP="0066080F">
            <w:pPr>
              <w:spacing w:line="360" w:lineRule="auto"/>
              <w:jc w:val="both"/>
            </w:pPr>
            <w:r w:rsidRPr="0066080F">
              <w:t>-40.97</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23" w:tgtFrame="_blank" w:history="1">
              <w:r w:rsidR="00EB2FF1" w:rsidRPr="0066080F">
                <w:t>Birla Pacific</w:t>
              </w:r>
            </w:hyperlink>
          </w:p>
        </w:tc>
        <w:tc>
          <w:tcPr>
            <w:tcW w:w="0" w:type="auto"/>
            <w:vAlign w:val="center"/>
            <w:hideMark/>
          </w:tcPr>
          <w:p w:rsidR="00EB2FF1" w:rsidRPr="0066080F" w:rsidRDefault="00AF48E0" w:rsidP="0066080F">
            <w:pPr>
              <w:spacing w:line="360" w:lineRule="auto"/>
              <w:jc w:val="both"/>
            </w:pPr>
            <w:r w:rsidRPr="0066080F">
              <w:t>20</w:t>
            </w:r>
            <w:r w:rsidR="00EB2FF1" w:rsidRPr="0066080F">
              <w:t>.00</w:t>
            </w:r>
          </w:p>
        </w:tc>
        <w:tc>
          <w:tcPr>
            <w:tcW w:w="0" w:type="auto"/>
            <w:vAlign w:val="center"/>
            <w:hideMark/>
          </w:tcPr>
          <w:p w:rsidR="00EB2FF1" w:rsidRPr="0066080F" w:rsidRDefault="00EB2FF1" w:rsidP="0066080F">
            <w:pPr>
              <w:spacing w:line="360" w:lineRule="auto"/>
              <w:jc w:val="both"/>
            </w:pPr>
            <w:r w:rsidRPr="0066080F">
              <w:t>7.01</w:t>
            </w:r>
          </w:p>
        </w:tc>
        <w:tc>
          <w:tcPr>
            <w:tcW w:w="0" w:type="auto"/>
            <w:vAlign w:val="center"/>
            <w:hideMark/>
          </w:tcPr>
          <w:p w:rsidR="00EB2FF1" w:rsidRPr="0066080F" w:rsidRDefault="00EB2FF1" w:rsidP="0066080F">
            <w:pPr>
              <w:spacing w:line="360" w:lineRule="auto"/>
              <w:jc w:val="both"/>
            </w:pPr>
            <w:r w:rsidRPr="0066080F">
              <w:t>-29.90</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24" w:tgtFrame="_blank" w:history="1">
              <w:r w:rsidR="00EB2FF1" w:rsidRPr="0066080F">
                <w:t>Rushil Decor</w:t>
              </w:r>
            </w:hyperlink>
          </w:p>
        </w:tc>
        <w:tc>
          <w:tcPr>
            <w:tcW w:w="0" w:type="auto"/>
            <w:vAlign w:val="center"/>
            <w:hideMark/>
          </w:tcPr>
          <w:p w:rsidR="00EB2FF1" w:rsidRPr="0066080F" w:rsidRDefault="00EB2FF1" w:rsidP="0066080F">
            <w:pPr>
              <w:spacing w:line="360" w:lineRule="auto"/>
              <w:jc w:val="both"/>
            </w:pPr>
            <w:r w:rsidRPr="0066080F">
              <w:t>72.00</w:t>
            </w:r>
          </w:p>
        </w:tc>
        <w:tc>
          <w:tcPr>
            <w:tcW w:w="0" w:type="auto"/>
            <w:vAlign w:val="center"/>
            <w:hideMark/>
          </w:tcPr>
          <w:p w:rsidR="00EB2FF1" w:rsidRPr="0066080F" w:rsidRDefault="00AF48E0" w:rsidP="0066080F">
            <w:pPr>
              <w:spacing w:line="360" w:lineRule="auto"/>
              <w:jc w:val="both"/>
            </w:pPr>
            <w:r w:rsidRPr="0066080F">
              <w:t>20</w:t>
            </w:r>
            <w:r w:rsidR="00EB2FF1" w:rsidRPr="0066080F">
              <w:t>1.</w:t>
            </w:r>
            <w:r w:rsidRPr="0066080F">
              <w:t>14</w:t>
            </w:r>
          </w:p>
        </w:tc>
        <w:tc>
          <w:tcPr>
            <w:tcW w:w="0" w:type="auto"/>
            <w:vAlign w:val="center"/>
            <w:hideMark/>
          </w:tcPr>
          <w:p w:rsidR="00EB2FF1" w:rsidRPr="0066080F" w:rsidRDefault="00AF48E0" w:rsidP="0066080F">
            <w:pPr>
              <w:spacing w:line="360" w:lineRule="auto"/>
              <w:jc w:val="both"/>
            </w:pPr>
            <w:r w:rsidRPr="0066080F">
              <w:t>16</w:t>
            </w:r>
            <w:r w:rsidR="00EB2FF1" w:rsidRPr="0066080F">
              <w:t>3.68</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gridSpan w:val="5"/>
            <w:shd w:val="clear" w:color="auto" w:fill="E1E1E1"/>
            <w:vAlign w:val="center"/>
            <w:hideMark/>
          </w:tcPr>
          <w:p w:rsidR="00EB2FF1" w:rsidRPr="0066080F" w:rsidRDefault="00EB2FF1" w:rsidP="0066080F">
            <w:pPr>
              <w:spacing w:line="360" w:lineRule="auto"/>
              <w:jc w:val="both"/>
            </w:pPr>
            <w:r w:rsidRPr="0066080F">
              <w:t>  </w:t>
            </w:r>
            <w:r w:rsidRPr="0066080F">
              <w:rPr>
                <w:b/>
                <w:bCs/>
              </w:rPr>
              <w:t>June-20</w:t>
            </w:r>
            <w:r w:rsidR="00AF48E0" w:rsidRPr="0066080F">
              <w:rPr>
                <w:b/>
                <w:bCs/>
              </w:rPr>
              <w:t>18</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25" w:tgtFrame="_blank" w:history="1">
              <w:r w:rsidR="00EB2FF1" w:rsidRPr="0066080F">
                <w:t>Timbor Home</w:t>
              </w:r>
            </w:hyperlink>
          </w:p>
        </w:tc>
        <w:tc>
          <w:tcPr>
            <w:tcW w:w="0" w:type="auto"/>
            <w:vAlign w:val="center"/>
            <w:hideMark/>
          </w:tcPr>
          <w:p w:rsidR="00EB2FF1" w:rsidRPr="0066080F" w:rsidRDefault="00EB2FF1" w:rsidP="0066080F">
            <w:pPr>
              <w:spacing w:line="360" w:lineRule="auto"/>
              <w:jc w:val="both"/>
            </w:pPr>
            <w:r w:rsidRPr="0066080F">
              <w:t>63.00</w:t>
            </w:r>
          </w:p>
        </w:tc>
        <w:tc>
          <w:tcPr>
            <w:tcW w:w="0" w:type="auto"/>
            <w:vAlign w:val="center"/>
            <w:hideMark/>
          </w:tcPr>
          <w:p w:rsidR="00EB2FF1" w:rsidRPr="0066080F" w:rsidRDefault="00EB2FF1" w:rsidP="0066080F">
            <w:pPr>
              <w:spacing w:line="360" w:lineRule="auto"/>
              <w:jc w:val="both"/>
            </w:pPr>
            <w:r w:rsidRPr="0066080F">
              <w:t>28.70</w:t>
            </w:r>
          </w:p>
        </w:tc>
        <w:tc>
          <w:tcPr>
            <w:tcW w:w="0" w:type="auto"/>
            <w:vAlign w:val="center"/>
            <w:hideMark/>
          </w:tcPr>
          <w:p w:rsidR="00EB2FF1" w:rsidRPr="0066080F" w:rsidRDefault="00EB2FF1" w:rsidP="0066080F">
            <w:pPr>
              <w:spacing w:line="360" w:lineRule="auto"/>
              <w:jc w:val="both"/>
            </w:pPr>
            <w:r w:rsidRPr="0066080F">
              <w:t>-54.44</w:t>
            </w:r>
          </w:p>
        </w:tc>
        <w:tc>
          <w:tcPr>
            <w:tcW w:w="0" w:type="auto"/>
            <w:vAlign w:val="center"/>
            <w:hideMark/>
          </w:tcPr>
          <w:p w:rsidR="00EB2FF1" w:rsidRPr="0066080F" w:rsidRDefault="00EB2FF1" w:rsidP="0066080F">
            <w:pPr>
              <w:spacing w:line="360" w:lineRule="auto"/>
              <w:jc w:val="both"/>
            </w:pPr>
            <w:r w:rsidRPr="0066080F">
              <w:t> </w:t>
            </w:r>
          </w:p>
        </w:tc>
      </w:tr>
      <w:tr w:rsidR="00EB2FF1" w:rsidRPr="0066080F" w:rsidTr="005B1C6B">
        <w:trPr>
          <w:tblCellSpacing w:w="0" w:type="dxa"/>
        </w:trPr>
        <w:tc>
          <w:tcPr>
            <w:tcW w:w="0" w:type="auto"/>
            <w:vAlign w:val="center"/>
            <w:hideMark/>
          </w:tcPr>
          <w:p w:rsidR="00EB2FF1" w:rsidRPr="0066080F" w:rsidRDefault="006D4F60" w:rsidP="0066080F">
            <w:pPr>
              <w:spacing w:line="360" w:lineRule="auto"/>
              <w:jc w:val="both"/>
            </w:pPr>
            <w:hyperlink r:id="rId26" w:tgtFrame="_blank" w:history="1">
              <w:r w:rsidR="00EB2FF1" w:rsidRPr="0066080F">
                <w:t>VMS Industries</w:t>
              </w:r>
            </w:hyperlink>
          </w:p>
        </w:tc>
        <w:tc>
          <w:tcPr>
            <w:tcW w:w="0" w:type="auto"/>
            <w:vAlign w:val="center"/>
            <w:hideMark/>
          </w:tcPr>
          <w:p w:rsidR="00EB2FF1" w:rsidRPr="0066080F" w:rsidRDefault="00EB2FF1" w:rsidP="0066080F">
            <w:pPr>
              <w:spacing w:line="360" w:lineRule="auto"/>
              <w:jc w:val="both"/>
            </w:pPr>
            <w:r w:rsidRPr="0066080F">
              <w:t>40.00</w:t>
            </w:r>
          </w:p>
        </w:tc>
        <w:tc>
          <w:tcPr>
            <w:tcW w:w="0" w:type="auto"/>
            <w:vAlign w:val="center"/>
            <w:hideMark/>
          </w:tcPr>
          <w:p w:rsidR="00EB2FF1" w:rsidRPr="0066080F" w:rsidRDefault="00EB2FF1" w:rsidP="0066080F">
            <w:pPr>
              <w:spacing w:line="360" w:lineRule="auto"/>
              <w:jc w:val="both"/>
            </w:pPr>
            <w:r w:rsidRPr="0066080F">
              <w:t>44.55</w:t>
            </w:r>
          </w:p>
        </w:tc>
        <w:tc>
          <w:tcPr>
            <w:tcW w:w="0" w:type="auto"/>
            <w:vAlign w:val="center"/>
            <w:hideMark/>
          </w:tcPr>
          <w:p w:rsidR="00EB2FF1" w:rsidRPr="0066080F" w:rsidRDefault="00AF48E0" w:rsidP="0066080F">
            <w:pPr>
              <w:spacing w:line="360" w:lineRule="auto"/>
              <w:jc w:val="both"/>
            </w:pPr>
            <w:r w:rsidRPr="0066080F">
              <w:t>15</w:t>
            </w:r>
            <w:r w:rsidR="00EB2FF1" w:rsidRPr="0066080F">
              <w:t>.37</w:t>
            </w:r>
          </w:p>
        </w:tc>
        <w:tc>
          <w:tcPr>
            <w:tcW w:w="0" w:type="auto"/>
            <w:vAlign w:val="center"/>
            <w:hideMark/>
          </w:tcPr>
          <w:p w:rsidR="00EB2FF1" w:rsidRPr="0066080F" w:rsidRDefault="00EB2FF1" w:rsidP="0066080F">
            <w:pPr>
              <w:spacing w:line="360" w:lineRule="auto"/>
              <w:jc w:val="both"/>
            </w:pPr>
            <w:r w:rsidRPr="0066080F">
              <w:t> </w:t>
            </w:r>
          </w:p>
        </w:tc>
      </w:tr>
    </w:tbl>
    <w:p w:rsidR="00EB2FF1" w:rsidRPr="0066080F" w:rsidRDefault="00EB2FF1" w:rsidP="0066080F">
      <w:pPr>
        <w:spacing w:line="360" w:lineRule="auto"/>
        <w:jc w:val="both"/>
      </w:pPr>
    </w:p>
    <w:p w:rsidR="00EB2FF1" w:rsidRPr="0066080F" w:rsidRDefault="00EB2FF1" w:rsidP="0066080F">
      <w:pPr>
        <w:spacing w:line="360" w:lineRule="auto"/>
        <w:jc w:val="both"/>
      </w:pPr>
    </w:p>
    <w:p w:rsidR="00EB2FF1" w:rsidRPr="0066080F" w:rsidRDefault="00EB2FF1" w:rsidP="0066080F">
      <w:pPr>
        <w:spacing w:line="360" w:lineRule="auto"/>
        <w:jc w:val="both"/>
        <w:rPr>
          <w:b/>
        </w:rPr>
      </w:pPr>
      <w:r w:rsidRPr="0066080F">
        <w:rPr>
          <w:b/>
          <w:noProof/>
          <w:lang w:bidi="te-IN"/>
        </w:rPr>
        <w:drawing>
          <wp:inline distT="0" distB="0" distL="0" distR="0" wp14:anchorId="20D13C39" wp14:editId="160010C8">
            <wp:extent cx="4572000" cy="2743200"/>
            <wp:effectExtent l="19050" t="0" r="19050" b="0"/>
            <wp:docPr id="1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B2FF1" w:rsidRPr="0066080F" w:rsidRDefault="00EB2FF1" w:rsidP="0066080F">
      <w:pPr>
        <w:spacing w:line="360" w:lineRule="auto"/>
        <w:jc w:val="both"/>
        <w:rPr>
          <w:b/>
        </w:rPr>
      </w:pPr>
      <w:r w:rsidRPr="0066080F">
        <w:rPr>
          <w:b/>
        </w:rPr>
        <w:t>INTERPRETATION:</w:t>
      </w:r>
    </w:p>
    <w:p w:rsidR="00EB2FF1" w:rsidRPr="0066080F" w:rsidRDefault="00EB2FF1" w:rsidP="0066080F">
      <w:pPr>
        <w:spacing w:line="360" w:lineRule="auto"/>
        <w:jc w:val="both"/>
        <w:rPr>
          <w:b/>
        </w:rPr>
      </w:pPr>
    </w:p>
    <w:p w:rsidR="000A7CE4" w:rsidRPr="0066080F" w:rsidRDefault="000A7CE4" w:rsidP="0066080F">
      <w:pPr>
        <w:spacing w:line="360" w:lineRule="auto"/>
        <w:jc w:val="both"/>
      </w:pPr>
    </w:p>
    <w:p w:rsidR="000A7CE4" w:rsidRPr="0066080F" w:rsidRDefault="000A7CE4" w:rsidP="0066080F">
      <w:pPr>
        <w:spacing w:line="360" w:lineRule="auto"/>
        <w:jc w:val="both"/>
      </w:pPr>
      <w:r w:rsidRPr="0066080F">
        <w:lastRenderedPageBreak/>
        <w:t>The difference between LTP and Issue price of various businesses in the current year is projected in the above table, and the positions in the companies are solely based on market value.</w:t>
      </w:r>
    </w:p>
    <w:p w:rsidR="00EB2FF1" w:rsidRPr="0066080F" w:rsidRDefault="000A7CE4" w:rsidP="0066080F">
      <w:pPr>
        <w:spacing w:line="360" w:lineRule="auto"/>
        <w:jc w:val="both"/>
      </w:pPr>
      <w:r w:rsidRPr="0066080F">
        <w:t>We may infer that the investor who invested in Decor and Capital had the most profit based on LTP and Issue price differential.</w:t>
      </w:r>
    </w:p>
    <w:p w:rsidR="00EB2FF1" w:rsidRPr="0066080F" w:rsidRDefault="00EB2FF1" w:rsidP="0066080F">
      <w:pPr>
        <w:spacing w:line="360" w:lineRule="auto"/>
        <w:jc w:val="both"/>
      </w:pPr>
    </w:p>
    <w:p w:rsidR="00EB2FF1" w:rsidRPr="0066080F" w:rsidRDefault="00EB2FF1" w:rsidP="0066080F">
      <w:pPr>
        <w:spacing w:line="360" w:lineRule="auto"/>
        <w:jc w:val="both"/>
      </w:pPr>
    </w:p>
    <w:p w:rsidR="00EB2FF1" w:rsidRPr="0066080F" w:rsidRDefault="00EB2FF1" w:rsidP="0066080F">
      <w:pPr>
        <w:spacing w:line="360" w:lineRule="auto"/>
        <w:jc w:val="both"/>
        <w:rPr>
          <w:b/>
        </w:rPr>
      </w:pPr>
      <w:r w:rsidRPr="0066080F">
        <w:t xml:space="preserve">      </w:t>
      </w:r>
      <w:r w:rsidRPr="0066080F">
        <w:rPr>
          <w:b/>
        </w:rPr>
        <w:t>TABLE SHOWING SCRIPS OF PHARMA / CHEMICAL /HEALTH / BIO-PHARMA INDUSTRY</w:t>
      </w:r>
    </w:p>
    <w:p w:rsidR="00EB2FF1" w:rsidRPr="0066080F" w:rsidRDefault="00EB2FF1" w:rsidP="0066080F">
      <w:pPr>
        <w:spacing w:line="360" w:lineRule="auto"/>
        <w:ind w:right="-72"/>
        <w:jc w:val="both"/>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1789"/>
        <w:gridCol w:w="1923"/>
        <w:gridCol w:w="1217"/>
        <w:gridCol w:w="1083"/>
        <w:gridCol w:w="963"/>
        <w:gridCol w:w="876"/>
        <w:gridCol w:w="1777"/>
      </w:tblGrid>
      <w:tr w:rsidR="00EB2FF1" w:rsidRPr="0066080F" w:rsidTr="005B1C6B">
        <w:trPr>
          <w:jc w:val="center"/>
        </w:trPr>
        <w:tc>
          <w:tcPr>
            <w:tcW w:w="770" w:type="dxa"/>
            <w:vAlign w:val="center"/>
          </w:tcPr>
          <w:p w:rsidR="00EB2FF1" w:rsidRPr="0066080F" w:rsidRDefault="00EB2FF1" w:rsidP="0066080F">
            <w:pPr>
              <w:spacing w:line="360" w:lineRule="auto"/>
              <w:jc w:val="both"/>
              <w:rPr>
                <w:b/>
              </w:rPr>
            </w:pPr>
            <w:r w:rsidRPr="0066080F">
              <w:rPr>
                <w:b/>
              </w:rPr>
              <w:t>S.NO</w:t>
            </w:r>
          </w:p>
        </w:tc>
        <w:tc>
          <w:tcPr>
            <w:tcW w:w="1789" w:type="dxa"/>
            <w:vAlign w:val="center"/>
          </w:tcPr>
          <w:p w:rsidR="00EB2FF1" w:rsidRPr="0066080F" w:rsidRDefault="00EB2FF1" w:rsidP="0066080F">
            <w:pPr>
              <w:spacing w:line="360" w:lineRule="auto"/>
              <w:jc w:val="both"/>
              <w:rPr>
                <w:b/>
              </w:rPr>
            </w:pPr>
            <w:r w:rsidRPr="0066080F">
              <w:rPr>
                <w:b/>
              </w:rPr>
              <w:t>NAME OF THE ISSUE</w:t>
            </w:r>
          </w:p>
        </w:tc>
        <w:tc>
          <w:tcPr>
            <w:tcW w:w="1923" w:type="dxa"/>
            <w:vAlign w:val="center"/>
          </w:tcPr>
          <w:p w:rsidR="00EB2FF1" w:rsidRPr="0066080F" w:rsidRDefault="00EB2FF1" w:rsidP="0066080F">
            <w:pPr>
              <w:spacing w:line="360" w:lineRule="auto"/>
              <w:jc w:val="both"/>
              <w:rPr>
                <w:b/>
              </w:rPr>
            </w:pPr>
            <w:r w:rsidRPr="0066080F">
              <w:rPr>
                <w:b/>
              </w:rPr>
              <w:t>DATE OF ISSUE</w:t>
            </w:r>
          </w:p>
        </w:tc>
        <w:tc>
          <w:tcPr>
            <w:tcW w:w="1217" w:type="dxa"/>
            <w:vAlign w:val="center"/>
          </w:tcPr>
          <w:p w:rsidR="00EB2FF1" w:rsidRPr="0066080F" w:rsidRDefault="00EB2FF1" w:rsidP="0066080F">
            <w:pPr>
              <w:spacing w:line="360" w:lineRule="auto"/>
              <w:jc w:val="both"/>
              <w:rPr>
                <w:b/>
              </w:rPr>
            </w:pPr>
            <w:r w:rsidRPr="0066080F">
              <w:rPr>
                <w:b/>
              </w:rPr>
              <w:t>ISSUE SIZE (LAKHS)</w:t>
            </w:r>
          </w:p>
        </w:tc>
        <w:tc>
          <w:tcPr>
            <w:tcW w:w="1083" w:type="dxa"/>
            <w:vAlign w:val="center"/>
          </w:tcPr>
          <w:p w:rsidR="00EB2FF1" w:rsidRPr="0066080F" w:rsidRDefault="00EB2FF1" w:rsidP="0066080F">
            <w:pPr>
              <w:spacing w:line="360" w:lineRule="auto"/>
              <w:jc w:val="both"/>
              <w:rPr>
                <w:b/>
              </w:rPr>
            </w:pPr>
            <w:r w:rsidRPr="0066080F">
              <w:rPr>
                <w:b/>
              </w:rPr>
              <w:t>PRICE RANGE</w:t>
            </w:r>
          </w:p>
        </w:tc>
        <w:tc>
          <w:tcPr>
            <w:tcW w:w="963" w:type="dxa"/>
            <w:vAlign w:val="center"/>
          </w:tcPr>
          <w:p w:rsidR="00EB2FF1" w:rsidRPr="0066080F" w:rsidRDefault="00EB2FF1" w:rsidP="0066080F">
            <w:pPr>
              <w:spacing w:line="360" w:lineRule="auto"/>
              <w:jc w:val="both"/>
              <w:rPr>
                <w:b/>
              </w:rPr>
            </w:pPr>
            <w:r w:rsidRPr="0066080F">
              <w:rPr>
                <w:b/>
              </w:rPr>
              <w:t>ISSUE PRICE</w:t>
            </w:r>
          </w:p>
        </w:tc>
        <w:tc>
          <w:tcPr>
            <w:tcW w:w="876" w:type="dxa"/>
            <w:vAlign w:val="center"/>
          </w:tcPr>
          <w:p w:rsidR="00EB2FF1" w:rsidRPr="0066080F" w:rsidRDefault="00EB2FF1" w:rsidP="0066080F">
            <w:pPr>
              <w:spacing w:line="360" w:lineRule="auto"/>
              <w:jc w:val="both"/>
              <w:rPr>
                <w:b/>
              </w:rPr>
            </w:pPr>
            <w:r w:rsidRPr="0066080F">
              <w:rPr>
                <w:b/>
              </w:rPr>
              <w:t>LTP</w:t>
            </w:r>
          </w:p>
        </w:tc>
        <w:tc>
          <w:tcPr>
            <w:tcW w:w="1777" w:type="dxa"/>
            <w:vAlign w:val="center"/>
          </w:tcPr>
          <w:p w:rsidR="00EB2FF1" w:rsidRPr="0066080F" w:rsidRDefault="00EB2FF1" w:rsidP="0066080F">
            <w:pPr>
              <w:spacing w:line="360" w:lineRule="auto"/>
              <w:jc w:val="both"/>
              <w:rPr>
                <w:b/>
              </w:rPr>
            </w:pPr>
            <w:r w:rsidRPr="0066080F">
              <w:rPr>
                <w:b/>
              </w:rPr>
              <w:t>DIFFERENCE BETWEEN ISSUE PRICE &amp; LTP</w:t>
            </w:r>
          </w:p>
        </w:tc>
      </w:tr>
      <w:tr w:rsidR="00EB2FF1" w:rsidRPr="0066080F" w:rsidTr="005B1C6B">
        <w:trPr>
          <w:jc w:val="center"/>
        </w:trPr>
        <w:tc>
          <w:tcPr>
            <w:tcW w:w="770" w:type="dxa"/>
            <w:vAlign w:val="center"/>
          </w:tcPr>
          <w:p w:rsidR="00EB2FF1" w:rsidRPr="0066080F" w:rsidRDefault="00EB2FF1" w:rsidP="0066080F">
            <w:pPr>
              <w:spacing w:line="360" w:lineRule="auto"/>
              <w:jc w:val="both"/>
            </w:pPr>
            <w:r w:rsidRPr="0066080F">
              <w:t>1</w:t>
            </w:r>
          </w:p>
        </w:tc>
        <w:tc>
          <w:tcPr>
            <w:tcW w:w="1789" w:type="dxa"/>
          </w:tcPr>
          <w:p w:rsidR="00EB2FF1" w:rsidRPr="0066080F" w:rsidRDefault="00EB2FF1" w:rsidP="0066080F">
            <w:pPr>
              <w:spacing w:line="360" w:lineRule="auto"/>
              <w:jc w:val="both"/>
            </w:pPr>
            <w:r w:rsidRPr="0066080F">
              <w:t>Advanta India Ltd</w:t>
            </w:r>
          </w:p>
        </w:tc>
        <w:tc>
          <w:tcPr>
            <w:tcW w:w="1923" w:type="dxa"/>
            <w:vAlign w:val="center"/>
          </w:tcPr>
          <w:p w:rsidR="00EB2FF1" w:rsidRPr="0066080F" w:rsidRDefault="00EB2FF1" w:rsidP="0066080F">
            <w:pPr>
              <w:spacing w:line="360" w:lineRule="auto"/>
              <w:jc w:val="both"/>
            </w:pPr>
            <w:r w:rsidRPr="0066080F">
              <w:t>26/03/</w:t>
            </w:r>
            <w:r w:rsidR="00AF48E0" w:rsidRPr="0066080F">
              <w:t>20</w:t>
            </w:r>
            <w:r w:rsidRPr="0066080F">
              <w:t>-30/03/</w:t>
            </w:r>
            <w:r w:rsidR="00AF48E0" w:rsidRPr="0066080F">
              <w:t>20</w:t>
            </w:r>
          </w:p>
        </w:tc>
        <w:tc>
          <w:tcPr>
            <w:tcW w:w="1217" w:type="dxa"/>
            <w:vAlign w:val="center"/>
          </w:tcPr>
          <w:p w:rsidR="00EB2FF1" w:rsidRPr="0066080F" w:rsidRDefault="00EB2FF1" w:rsidP="0066080F">
            <w:pPr>
              <w:spacing w:line="360" w:lineRule="auto"/>
              <w:jc w:val="both"/>
            </w:pPr>
            <w:r w:rsidRPr="0066080F">
              <w:t>33.8</w:t>
            </w:r>
          </w:p>
        </w:tc>
        <w:tc>
          <w:tcPr>
            <w:tcW w:w="1083" w:type="dxa"/>
            <w:vAlign w:val="center"/>
          </w:tcPr>
          <w:p w:rsidR="00EB2FF1" w:rsidRPr="0066080F" w:rsidRDefault="00EB2FF1" w:rsidP="0066080F">
            <w:pPr>
              <w:spacing w:line="360" w:lineRule="auto"/>
              <w:jc w:val="both"/>
            </w:pPr>
            <w:r w:rsidRPr="0066080F">
              <w:t>600-650</w:t>
            </w:r>
          </w:p>
        </w:tc>
        <w:tc>
          <w:tcPr>
            <w:tcW w:w="963" w:type="dxa"/>
            <w:vAlign w:val="center"/>
          </w:tcPr>
          <w:p w:rsidR="00EB2FF1" w:rsidRPr="0066080F" w:rsidRDefault="00EB2FF1" w:rsidP="0066080F">
            <w:pPr>
              <w:spacing w:line="360" w:lineRule="auto"/>
              <w:jc w:val="both"/>
            </w:pPr>
            <w:r w:rsidRPr="0066080F">
              <w:t>640</w:t>
            </w:r>
          </w:p>
        </w:tc>
        <w:tc>
          <w:tcPr>
            <w:tcW w:w="876" w:type="dxa"/>
            <w:vAlign w:val="center"/>
          </w:tcPr>
          <w:p w:rsidR="00EB2FF1" w:rsidRPr="0066080F" w:rsidRDefault="00AF48E0" w:rsidP="0066080F">
            <w:pPr>
              <w:spacing w:line="360" w:lineRule="auto"/>
              <w:jc w:val="both"/>
            </w:pPr>
            <w:r w:rsidRPr="0066080F">
              <w:t>20</w:t>
            </w:r>
            <w:r w:rsidR="00EB2FF1" w:rsidRPr="0066080F">
              <w:t>36</w:t>
            </w:r>
          </w:p>
        </w:tc>
        <w:tc>
          <w:tcPr>
            <w:tcW w:w="1777" w:type="dxa"/>
            <w:vAlign w:val="center"/>
          </w:tcPr>
          <w:p w:rsidR="00EB2FF1" w:rsidRPr="0066080F" w:rsidRDefault="00EB2FF1" w:rsidP="0066080F">
            <w:pPr>
              <w:spacing w:line="360" w:lineRule="auto"/>
              <w:jc w:val="both"/>
            </w:pPr>
            <w:r w:rsidRPr="0066080F">
              <w:t>+ 396</w:t>
            </w:r>
          </w:p>
        </w:tc>
      </w:tr>
      <w:tr w:rsidR="00EB2FF1" w:rsidRPr="0066080F" w:rsidTr="005B1C6B">
        <w:trPr>
          <w:jc w:val="center"/>
        </w:trPr>
        <w:tc>
          <w:tcPr>
            <w:tcW w:w="770" w:type="dxa"/>
            <w:vAlign w:val="center"/>
          </w:tcPr>
          <w:p w:rsidR="00EB2FF1" w:rsidRPr="0066080F" w:rsidRDefault="00EB2FF1" w:rsidP="0066080F">
            <w:pPr>
              <w:spacing w:line="360" w:lineRule="auto"/>
              <w:jc w:val="both"/>
            </w:pPr>
            <w:r w:rsidRPr="0066080F">
              <w:t>2</w:t>
            </w:r>
          </w:p>
        </w:tc>
        <w:tc>
          <w:tcPr>
            <w:tcW w:w="1789" w:type="dxa"/>
          </w:tcPr>
          <w:p w:rsidR="00EB2FF1" w:rsidRPr="0066080F" w:rsidRDefault="00EB2FF1" w:rsidP="0066080F">
            <w:pPr>
              <w:spacing w:line="360" w:lineRule="auto"/>
              <w:jc w:val="both"/>
            </w:pPr>
            <w:r w:rsidRPr="0066080F">
              <w:t>AMD Metplast Ltd</w:t>
            </w:r>
          </w:p>
        </w:tc>
        <w:tc>
          <w:tcPr>
            <w:tcW w:w="1923" w:type="dxa"/>
            <w:vAlign w:val="center"/>
          </w:tcPr>
          <w:p w:rsidR="00EB2FF1" w:rsidRPr="0066080F" w:rsidRDefault="00AF48E0" w:rsidP="0066080F">
            <w:pPr>
              <w:spacing w:line="360" w:lineRule="auto"/>
              <w:jc w:val="both"/>
            </w:pPr>
            <w:r w:rsidRPr="0066080F">
              <w:t>20</w:t>
            </w:r>
            <w:r w:rsidR="00EB2FF1" w:rsidRPr="0066080F">
              <w:t>/02/</w:t>
            </w:r>
            <w:r w:rsidRPr="0066080F">
              <w:t>20</w:t>
            </w:r>
            <w:r w:rsidR="00EB2FF1" w:rsidRPr="0066080F">
              <w:t>-23/02/</w:t>
            </w:r>
            <w:r w:rsidRPr="0066080F">
              <w:t>20</w:t>
            </w:r>
          </w:p>
        </w:tc>
        <w:tc>
          <w:tcPr>
            <w:tcW w:w="1217" w:type="dxa"/>
            <w:vAlign w:val="center"/>
          </w:tcPr>
          <w:p w:rsidR="00EB2FF1" w:rsidRPr="0066080F" w:rsidRDefault="00EB2FF1" w:rsidP="0066080F">
            <w:pPr>
              <w:spacing w:line="360" w:lineRule="auto"/>
              <w:jc w:val="both"/>
            </w:pPr>
            <w:r w:rsidRPr="0066080F">
              <w:t>90.9652</w:t>
            </w:r>
          </w:p>
        </w:tc>
        <w:tc>
          <w:tcPr>
            <w:tcW w:w="1083" w:type="dxa"/>
            <w:vAlign w:val="center"/>
          </w:tcPr>
          <w:p w:rsidR="00EB2FF1" w:rsidRPr="0066080F" w:rsidRDefault="00EB2FF1" w:rsidP="0066080F">
            <w:pPr>
              <w:spacing w:line="360" w:lineRule="auto"/>
              <w:jc w:val="both"/>
            </w:pPr>
            <w:r w:rsidRPr="0066080F">
              <w:t>65-75</w:t>
            </w:r>
          </w:p>
        </w:tc>
        <w:tc>
          <w:tcPr>
            <w:tcW w:w="963" w:type="dxa"/>
            <w:vAlign w:val="center"/>
          </w:tcPr>
          <w:p w:rsidR="00EB2FF1" w:rsidRPr="0066080F" w:rsidRDefault="00EB2FF1" w:rsidP="0066080F">
            <w:pPr>
              <w:spacing w:line="360" w:lineRule="auto"/>
              <w:jc w:val="both"/>
            </w:pPr>
            <w:r w:rsidRPr="0066080F">
              <w:t>75</w:t>
            </w:r>
          </w:p>
        </w:tc>
        <w:tc>
          <w:tcPr>
            <w:tcW w:w="876" w:type="dxa"/>
            <w:vAlign w:val="center"/>
          </w:tcPr>
          <w:p w:rsidR="00EB2FF1" w:rsidRPr="0066080F" w:rsidRDefault="00EB2FF1" w:rsidP="0066080F">
            <w:pPr>
              <w:spacing w:line="360" w:lineRule="auto"/>
              <w:jc w:val="both"/>
            </w:pPr>
            <w:r w:rsidRPr="0066080F">
              <w:t>45.70</w:t>
            </w:r>
          </w:p>
        </w:tc>
        <w:tc>
          <w:tcPr>
            <w:tcW w:w="1777" w:type="dxa"/>
            <w:vAlign w:val="center"/>
          </w:tcPr>
          <w:p w:rsidR="00EB2FF1" w:rsidRPr="0066080F" w:rsidRDefault="00EB2FF1" w:rsidP="0066080F">
            <w:pPr>
              <w:spacing w:line="360" w:lineRule="auto"/>
              <w:jc w:val="both"/>
            </w:pPr>
            <w:r w:rsidRPr="0066080F">
              <w:t>- 29.30</w:t>
            </w:r>
          </w:p>
        </w:tc>
      </w:tr>
      <w:tr w:rsidR="00EB2FF1" w:rsidRPr="0066080F" w:rsidTr="005B1C6B">
        <w:trPr>
          <w:jc w:val="center"/>
        </w:trPr>
        <w:tc>
          <w:tcPr>
            <w:tcW w:w="770" w:type="dxa"/>
            <w:vAlign w:val="center"/>
          </w:tcPr>
          <w:p w:rsidR="00EB2FF1" w:rsidRPr="0066080F" w:rsidRDefault="00EB2FF1" w:rsidP="0066080F">
            <w:pPr>
              <w:spacing w:line="360" w:lineRule="auto"/>
              <w:jc w:val="both"/>
            </w:pPr>
            <w:r w:rsidRPr="0066080F">
              <w:t>3</w:t>
            </w:r>
          </w:p>
        </w:tc>
        <w:tc>
          <w:tcPr>
            <w:tcW w:w="1789" w:type="dxa"/>
          </w:tcPr>
          <w:p w:rsidR="00EB2FF1" w:rsidRPr="0066080F" w:rsidRDefault="00EB2FF1" w:rsidP="0066080F">
            <w:pPr>
              <w:spacing w:line="360" w:lineRule="auto"/>
              <w:jc w:val="both"/>
            </w:pPr>
            <w:r w:rsidRPr="0066080F">
              <w:t>SMS Pharmaceuticals Ltd</w:t>
            </w:r>
          </w:p>
        </w:tc>
        <w:tc>
          <w:tcPr>
            <w:tcW w:w="1923" w:type="dxa"/>
            <w:vAlign w:val="center"/>
          </w:tcPr>
          <w:p w:rsidR="00EB2FF1" w:rsidRPr="0066080F" w:rsidRDefault="00AF48E0" w:rsidP="0066080F">
            <w:pPr>
              <w:spacing w:line="360" w:lineRule="auto"/>
              <w:jc w:val="both"/>
            </w:pPr>
            <w:r w:rsidRPr="0066080F">
              <w:t>14</w:t>
            </w:r>
            <w:r w:rsidR="00EB2FF1" w:rsidRPr="0066080F">
              <w:t>/02/</w:t>
            </w:r>
            <w:r w:rsidRPr="0066080F">
              <w:t>20</w:t>
            </w:r>
            <w:r w:rsidR="00EB2FF1" w:rsidRPr="0066080F">
              <w:t>-</w:t>
            </w:r>
            <w:r w:rsidRPr="0066080F">
              <w:t>16</w:t>
            </w:r>
            <w:r w:rsidR="00EB2FF1" w:rsidRPr="0066080F">
              <w:t>/02/</w:t>
            </w:r>
            <w:r w:rsidRPr="0066080F">
              <w:t>20</w:t>
            </w:r>
          </w:p>
        </w:tc>
        <w:tc>
          <w:tcPr>
            <w:tcW w:w="1217" w:type="dxa"/>
            <w:vAlign w:val="center"/>
          </w:tcPr>
          <w:p w:rsidR="00EB2FF1" w:rsidRPr="0066080F" w:rsidRDefault="00EB2FF1" w:rsidP="0066080F">
            <w:pPr>
              <w:spacing w:line="360" w:lineRule="auto"/>
              <w:jc w:val="both"/>
            </w:pPr>
            <w:r w:rsidRPr="0066080F">
              <w:t>25.77</w:t>
            </w:r>
          </w:p>
        </w:tc>
        <w:tc>
          <w:tcPr>
            <w:tcW w:w="1083" w:type="dxa"/>
            <w:vAlign w:val="center"/>
          </w:tcPr>
          <w:p w:rsidR="00EB2FF1" w:rsidRPr="0066080F" w:rsidRDefault="00EB2FF1" w:rsidP="0066080F">
            <w:pPr>
              <w:spacing w:line="360" w:lineRule="auto"/>
              <w:jc w:val="both"/>
            </w:pPr>
            <w:r w:rsidRPr="0066080F">
              <w:t>360-380</w:t>
            </w:r>
          </w:p>
        </w:tc>
        <w:tc>
          <w:tcPr>
            <w:tcW w:w="963" w:type="dxa"/>
            <w:vAlign w:val="center"/>
          </w:tcPr>
          <w:p w:rsidR="00EB2FF1" w:rsidRPr="0066080F" w:rsidRDefault="00EB2FF1" w:rsidP="0066080F">
            <w:pPr>
              <w:spacing w:line="360" w:lineRule="auto"/>
              <w:jc w:val="both"/>
            </w:pPr>
            <w:r w:rsidRPr="0066080F">
              <w:t>380</w:t>
            </w:r>
          </w:p>
        </w:tc>
        <w:tc>
          <w:tcPr>
            <w:tcW w:w="876" w:type="dxa"/>
            <w:vAlign w:val="center"/>
          </w:tcPr>
          <w:p w:rsidR="00EB2FF1" w:rsidRPr="0066080F" w:rsidRDefault="00EB2FF1" w:rsidP="0066080F">
            <w:pPr>
              <w:spacing w:line="360" w:lineRule="auto"/>
              <w:jc w:val="both"/>
            </w:pPr>
            <w:r w:rsidRPr="0066080F">
              <w:t>293.45</w:t>
            </w:r>
          </w:p>
        </w:tc>
        <w:tc>
          <w:tcPr>
            <w:tcW w:w="1777" w:type="dxa"/>
            <w:vAlign w:val="center"/>
          </w:tcPr>
          <w:p w:rsidR="00EB2FF1" w:rsidRPr="0066080F" w:rsidRDefault="00EB2FF1" w:rsidP="0066080F">
            <w:pPr>
              <w:spacing w:line="360" w:lineRule="auto"/>
              <w:jc w:val="both"/>
            </w:pPr>
            <w:r w:rsidRPr="0066080F">
              <w:t>- 86.55</w:t>
            </w:r>
          </w:p>
        </w:tc>
      </w:tr>
      <w:tr w:rsidR="00EB2FF1" w:rsidRPr="0066080F" w:rsidTr="005B1C6B">
        <w:trPr>
          <w:jc w:val="center"/>
        </w:trPr>
        <w:tc>
          <w:tcPr>
            <w:tcW w:w="770" w:type="dxa"/>
            <w:vAlign w:val="center"/>
          </w:tcPr>
          <w:p w:rsidR="00EB2FF1" w:rsidRPr="0066080F" w:rsidRDefault="00EB2FF1" w:rsidP="0066080F">
            <w:pPr>
              <w:spacing w:line="360" w:lineRule="auto"/>
              <w:jc w:val="both"/>
            </w:pPr>
            <w:r w:rsidRPr="0066080F">
              <w:t>4</w:t>
            </w:r>
          </w:p>
        </w:tc>
        <w:tc>
          <w:tcPr>
            <w:tcW w:w="1789" w:type="dxa"/>
          </w:tcPr>
          <w:p w:rsidR="00EB2FF1" w:rsidRPr="0066080F" w:rsidRDefault="00EB2FF1" w:rsidP="0066080F">
            <w:pPr>
              <w:spacing w:line="360" w:lineRule="auto"/>
              <w:jc w:val="both"/>
            </w:pPr>
            <w:r w:rsidRPr="0066080F">
              <w:t>Plethico Pharmaceuticals Ltd</w:t>
            </w:r>
          </w:p>
        </w:tc>
        <w:tc>
          <w:tcPr>
            <w:tcW w:w="1923" w:type="dxa"/>
            <w:vAlign w:val="center"/>
          </w:tcPr>
          <w:p w:rsidR="00EB2FF1" w:rsidRPr="0066080F" w:rsidRDefault="00AF48E0" w:rsidP="0066080F">
            <w:pPr>
              <w:spacing w:line="360" w:lineRule="auto"/>
              <w:jc w:val="both"/>
            </w:pPr>
            <w:r w:rsidRPr="0066080F">
              <w:t>20</w:t>
            </w:r>
            <w:r w:rsidR="00EB2FF1" w:rsidRPr="0066080F">
              <w:t>/10/</w:t>
            </w:r>
            <w:r w:rsidRPr="0066080F">
              <w:t>1820</w:t>
            </w:r>
            <w:r w:rsidR="00EB2FF1" w:rsidRPr="0066080F">
              <w:t>/10/</w:t>
            </w:r>
            <w:r w:rsidRPr="0066080F">
              <w:t>16</w:t>
            </w:r>
          </w:p>
        </w:tc>
        <w:tc>
          <w:tcPr>
            <w:tcW w:w="1217" w:type="dxa"/>
            <w:vAlign w:val="center"/>
          </w:tcPr>
          <w:p w:rsidR="00EB2FF1" w:rsidRPr="0066080F" w:rsidRDefault="00EB2FF1" w:rsidP="0066080F">
            <w:pPr>
              <w:spacing w:line="360" w:lineRule="auto"/>
              <w:jc w:val="both"/>
            </w:pPr>
            <w:r w:rsidRPr="0066080F">
              <w:t>39.2856</w:t>
            </w:r>
          </w:p>
        </w:tc>
        <w:tc>
          <w:tcPr>
            <w:tcW w:w="1083" w:type="dxa"/>
            <w:vAlign w:val="center"/>
          </w:tcPr>
          <w:p w:rsidR="00EB2FF1" w:rsidRPr="0066080F" w:rsidRDefault="00EB2FF1" w:rsidP="0066080F">
            <w:pPr>
              <w:spacing w:line="360" w:lineRule="auto"/>
              <w:jc w:val="both"/>
            </w:pPr>
            <w:r w:rsidRPr="0066080F">
              <w:t>280-300</w:t>
            </w:r>
          </w:p>
        </w:tc>
        <w:tc>
          <w:tcPr>
            <w:tcW w:w="963" w:type="dxa"/>
            <w:vAlign w:val="center"/>
          </w:tcPr>
          <w:p w:rsidR="00EB2FF1" w:rsidRPr="0066080F" w:rsidRDefault="00EB2FF1" w:rsidP="0066080F">
            <w:pPr>
              <w:spacing w:line="360" w:lineRule="auto"/>
              <w:jc w:val="both"/>
            </w:pPr>
            <w:r w:rsidRPr="0066080F">
              <w:t>300</w:t>
            </w:r>
          </w:p>
        </w:tc>
        <w:tc>
          <w:tcPr>
            <w:tcW w:w="876" w:type="dxa"/>
            <w:vAlign w:val="center"/>
          </w:tcPr>
          <w:p w:rsidR="00EB2FF1" w:rsidRPr="0066080F" w:rsidRDefault="00EB2FF1" w:rsidP="0066080F">
            <w:pPr>
              <w:spacing w:line="360" w:lineRule="auto"/>
              <w:jc w:val="both"/>
            </w:pPr>
            <w:r w:rsidRPr="0066080F">
              <w:t>402</w:t>
            </w:r>
          </w:p>
        </w:tc>
        <w:tc>
          <w:tcPr>
            <w:tcW w:w="1777" w:type="dxa"/>
            <w:vAlign w:val="center"/>
          </w:tcPr>
          <w:p w:rsidR="00EB2FF1" w:rsidRPr="0066080F" w:rsidRDefault="00EB2FF1" w:rsidP="0066080F">
            <w:pPr>
              <w:spacing w:line="360" w:lineRule="auto"/>
              <w:jc w:val="both"/>
            </w:pPr>
            <w:r w:rsidRPr="0066080F">
              <w:t xml:space="preserve">+ </w:t>
            </w:r>
            <w:r w:rsidR="00AF48E0" w:rsidRPr="0066080F">
              <w:t>20</w:t>
            </w:r>
            <w:r w:rsidRPr="0066080F">
              <w:t>2</w:t>
            </w:r>
          </w:p>
        </w:tc>
      </w:tr>
      <w:tr w:rsidR="00EB2FF1" w:rsidRPr="0066080F" w:rsidTr="005B1C6B">
        <w:trPr>
          <w:jc w:val="center"/>
        </w:trPr>
        <w:tc>
          <w:tcPr>
            <w:tcW w:w="770" w:type="dxa"/>
            <w:vAlign w:val="center"/>
          </w:tcPr>
          <w:p w:rsidR="00EB2FF1" w:rsidRPr="0066080F" w:rsidRDefault="00EB2FF1" w:rsidP="0066080F">
            <w:pPr>
              <w:spacing w:line="360" w:lineRule="auto"/>
              <w:jc w:val="both"/>
            </w:pPr>
            <w:r w:rsidRPr="0066080F">
              <w:t>5</w:t>
            </w:r>
          </w:p>
        </w:tc>
        <w:tc>
          <w:tcPr>
            <w:tcW w:w="1789" w:type="dxa"/>
          </w:tcPr>
          <w:p w:rsidR="00EB2FF1" w:rsidRPr="0066080F" w:rsidRDefault="00EB2FF1" w:rsidP="0066080F">
            <w:pPr>
              <w:spacing w:line="360" w:lineRule="auto"/>
              <w:jc w:val="both"/>
            </w:pPr>
            <w:r w:rsidRPr="0066080F">
              <w:t>Nectar Life sciences Ltd</w:t>
            </w:r>
          </w:p>
        </w:tc>
        <w:tc>
          <w:tcPr>
            <w:tcW w:w="1923" w:type="dxa"/>
            <w:vAlign w:val="center"/>
          </w:tcPr>
          <w:p w:rsidR="00EB2FF1" w:rsidRPr="0066080F" w:rsidRDefault="00EB2FF1" w:rsidP="0066080F">
            <w:pPr>
              <w:spacing w:line="360" w:lineRule="auto"/>
              <w:jc w:val="both"/>
            </w:pPr>
            <w:r w:rsidRPr="0066080F">
              <w:t>22/</w:t>
            </w:r>
            <w:r w:rsidR="00AF48E0" w:rsidRPr="0066080F">
              <w:t>15</w:t>
            </w:r>
            <w:r w:rsidRPr="0066080F">
              <w:t>/</w:t>
            </w:r>
            <w:r w:rsidR="00AF48E0" w:rsidRPr="0066080F">
              <w:t>16</w:t>
            </w:r>
            <w:r w:rsidRPr="0066080F">
              <w:t>-28/</w:t>
            </w:r>
            <w:r w:rsidR="00AF48E0" w:rsidRPr="0066080F">
              <w:t>15</w:t>
            </w:r>
            <w:r w:rsidRPr="0066080F">
              <w:t>/</w:t>
            </w:r>
            <w:r w:rsidR="00AF48E0" w:rsidRPr="0066080F">
              <w:t>16</w:t>
            </w:r>
          </w:p>
        </w:tc>
        <w:tc>
          <w:tcPr>
            <w:tcW w:w="1217" w:type="dxa"/>
            <w:vAlign w:val="center"/>
          </w:tcPr>
          <w:p w:rsidR="00EB2FF1" w:rsidRPr="0066080F" w:rsidRDefault="00EB2FF1" w:rsidP="0066080F">
            <w:pPr>
              <w:spacing w:line="360" w:lineRule="auto"/>
              <w:jc w:val="both"/>
            </w:pPr>
            <w:r w:rsidRPr="0066080F">
              <w:t>38.70</w:t>
            </w:r>
          </w:p>
        </w:tc>
        <w:tc>
          <w:tcPr>
            <w:tcW w:w="1083" w:type="dxa"/>
            <w:vAlign w:val="center"/>
          </w:tcPr>
          <w:p w:rsidR="00EB2FF1" w:rsidRPr="0066080F" w:rsidRDefault="00EB2FF1" w:rsidP="0066080F">
            <w:pPr>
              <w:spacing w:line="360" w:lineRule="auto"/>
              <w:jc w:val="both"/>
            </w:pPr>
            <w:r w:rsidRPr="0066080F">
              <w:t>200-240</w:t>
            </w:r>
          </w:p>
        </w:tc>
        <w:tc>
          <w:tcPr>
            <w:tcW w:w="963" w:type="dxa"/>
            <w:vAlign w:val="center"/>
          </w:tcPr>
          <w:p w:rsidR="00EB2FF1" w:rsidRPr="0066080F" w:rsidRDefault="00EB2FF1" w:rsidP="0066080F">
            <w:pPr>
              <w:spacing w:line="360" w:lineRule="auto"/>
              <w:jc w:val="both"/>
            </w:pPr>
            <w:r w:rsidRPr="0066080F">
              <w:t>240</w:t>
            </w:r>
          </w:p>
        </w:tc>
        <w:tc>
          <w:tcPr>
            <w:tcW w:w="876" w:type="dxa"/>
            <w:vAlign w:val="center"/>
          </w:tcPr>
          <w:p w:rsidR="00EB2FF1" w:rsidRPr="0066080F" w:rsidRDefault="00EB2FF1" w:rsidP="0066080F">
            <w:pPr>
              <w:spacing w:line="360" w:lineRule="auto"/>
              <w:jc w:val="both"/>
            </w:pPr>
            <w:r w:rsidRPr="0066080F">
              <w:t>248.50</w:t>
            </w:r>
          </w:p>
        </w:tc>
        <w:tc>
          <w:tcPr>
            <w:tcW w:w="1777" w:type="dxa"/>
            <w:vAlign w:val="center"/>
          </w:tcPr>
          <w:p w:rsidR="00EB2FF1" w:rsidRPr="0066080F" w:rsidRDefault="00EB2FF1" w:rsidP="0066080F">
            <w:pPr>
              <w:spacing w:line="360" w:lineRule="auto"/>
              <w:jc w:val="both"/>
            </w:pPr>
            <w:r w:rsidRPr="0066080F">
              <w:t>+ 8.50</w:t>
            </w:r>
          </w:p>
        </w:tc>
      </w:tr>
      <w:tr w:rsidR="00EB2FF1" w:rsidRPr="0066080F" w:rsidTr="005B1C6B">
        <w:trPr>
          <w:jc w:val="center"/>
        </w:trPr>
        <w:tc>
          <w:tcPr>
            <w:tcW w:w="770" w:type="dxa"/>
            <w:vAlign w:val="center"/>
          </w:tcPr>
          <w:p w:rsidR="00EB2FF1" w:rsidRPr="0066080F" w:rsidRDefault="00EB2FF1" w:rsidP="0066080F">
            <w:pPr>
              <w:spacing w:line="360" w:lineRule="auto"/>
              <w:jc w:val="both"/>
            </w:pPr>
            <w:r w:rsidRPr="0066080F">
              <w:t>6</w:t>
            </w:r>
          </w:p>
        </w:tc>
        <w:tc>
          <w:tcPr>
            <w:tcW w:w="1789" w:type="dxa"/>
          </w:tcPr>
          <w:p w:rsidR="00EB2FF1" w:rsidRPr="0066080F" w:rsidRDefault="00EB2FF1" w:rsidP="0066080F">
            <w:pPr>
              <w:spacing w:line="360" w:lineRule="auto"/>
              <w:jc w:val="both"/>
            </w:pPr>
            <w:r w:rsidRPr="0066080F">
              <w:t>Indoco Remedies Ltd</w:t>
            </w:r>
          </w:p>
        </w:tc>
        <w:tc>
          <w:tcPr>
            <w:tcW w:w="1923" w:type="dxa"/>
            <w:vAlign w:val="center"/>
          </w:tcPr>
          <w:p w:rsidR="00EB2FF1" w:rsidRPr="0066080F" w:rsidRDefault="00AF48E0" w:rsidP="0066080F">
            <w:pPr>
              <w:spacing w:line="360" w:lineRule="auto"/>
              <w:jc w:val="both"/>
            </w:pPr>
            <w:r w:rsidRPr="0066080F">
              <w:t>20</w:t>
            </w:r>
            <w:r w:rsidR="00EB2FF1" w:rsidRPr="0066080F">
              <w:t>/</w:t>
            </w:r>
            <w:r w:rsidRPr="0066080F">
              <w:t>16</w:t>
            </w:r>
            <w:r w:rsidR="00EB2FF1" w:rsidRPr="0066080F">
              <w:t>/</w:t>
            </w:r>
            <w:r w:rsidRPr="0066080F">
              <w:t>15</w:t>
            </w:r>
            <w:r w:rsidR="00EB2FF1" w:rsidRPr="0066080F">
              <w:t>-23/</w:t>
            </w:r>
            <w:r w:rsidRPr="0066080F">
              <w:t>16</w:t>
            </w:r>
            <w:r w:rsidR="00EB2FF1" w:rsidRPr="0066080F">
              <w:t>/</w:t>
            </w:r>
            <w:r w:rsidRPr="0066080F">
              <w:t>15</w:t>
            </w:r>
          </w:p>
        </w:tc>
        <w:tc>
          <w:tcPr>
            <w:tcW w:w="1217" w:type="dxa"/>
            <w:vAlign w:val="center"/>
          </w:tcPr>
          <w:p w:rsidR="00EB2FF1" w:rsidRPr="0066080F" w:rsidRDefault="00EB2FF1" w:rsidP="0066080F">
            <w:pPr>
              <w:spacing w:line="360" w:lineRule="auto"/>
              <w:jc w:val="both"/>
            </w:pPr>
            <w:r w:rsidRPr="0066080F">
              <w:t>30</w:t>
            </w:r>
          </w:p>
        </w:tc>
        <w:tc>
          <w:tcPr>
            <w:tcW w:w="1083" w:type="dxa"/>
            <w:vAlign w:val="center"/>
          </w:tcPr>
          <w:p w:rsidR="00EB2FF1" w:rsidRPr="0066080F" w:rsidRDefault="00EB2FF1" w:rsidP="0066080F">
            <w:pPr>
              <w:spacing w:line="360" w:lineRule="auto"/>
              <w:jc w:val="both"/>
            </w:pPr>
            <w:r w:rsidRPr="0066080F">
              <w:t>220-245</w:t>
            </w:r>
          </w:p>
        </w:tc>
        <w:tc>
          <w:tcPr>
            <w:tcW w:w="963" w:type="dxa"/>
            <w:vAlign w:val="center"/>
          </w:tcPr>
          <w:p w:rsidR="00EB2FF1" w:rsidRPr="0066080F" w:rsidRDefault="00EB2FF1" w:rsidP="0066080F">
            <w:pPr>
              <w:spacing w:line="360" w:lineRule="auto"/>
              <w:jc w:val="both"/>
            </w:pPr>
            <w:r w:rsidRPr="0066080F">
              <w:t>245</w:t>
            </w:r>
          </w:p>
        </w:tc>
        <w:tc>
          <w:tcPr>
            <w:tcW w:w="876" w:type="dxa"/>
            <w:vAlign w:val="center"/>
          </w:tcPr>
          <w:p w:rsidR="00EB2FF1" w:rsidRPr="0066080F" w:rsidRDefault="00EB2FF1" w:rsidP="0066080F">
            <w:pPr>
              <w:spacing w:line="360" w:lineRule="auto"/>
              <w:jc w:val="both"/>
            </w:pPr>
            <w:r w:rsidRPr="0066080F">
              <w:t>246.75</w:t>
            </w:r>
          </w:p>
        </w:tc>
        <w:tc>
          <w:tcPr>
            <w:tcW w:w="1777" w:type="dxa"/>
            <w:vAlign w:val="center"/>
          </w:tcPr>
          <w:p w:rsidR="00EB2FF1" w:rsidRPr="0066080F" w:rsidRDefault="00EB2FF1" w:rsidP="0066080F">
            <w:pPr>
              <w:spacing w:line="360" w:lineRule="auto"/>
              <w:jc w:val="both"/>
            </w:pPr>
            <w:r w:rsidRPr="0066080F">
              <w:t>+ 1.75</w:t>
            </w:r>
          </w:p>
        </w:tc>
      </w:tr>
      <w:tr w:rsidR="00EB2FF1" w:rsidRPr="0066080F" w:rsidTr="005B1C6B">
        <w:trPr>
          <w:jc w:val="center"/>
        </w:trPr>
        <w:tc>
          <w:tcPr>
            <w:tcW w:w="770" w:type="dxa"/>
            <w:vAlign w:val="center"/>
          </w:tcPr>
          <w:p w:rsidR="00EB2FF1" w:rsidRPr="0066080F" w:rsidRDefault="00EB2FF1" w:rsidP="0066080F">
            <w:pPr>
              <w:spacing w:line="360" w:lineRule="auto"/>
              <w:jc w:val="both"/>
            </w:pPr>
            <w:r w:rsidRPr="0066080F">
              <w:t>7</w:t>
            </w:r>
          </w:p>
        </w:tc>
        <w:tc>
          <w:tcPr>
            <w:tcW w:w="1789" w:type="dxa"/>
          </w:tcPr>
          <w:p w:rsidR="00EB2FF1" w:rsidRPr="0066080F" w:rsidRDefault="00EB2FF1" w:rsidP="0066080F">
            <w:pPr>
              <w:spacing w:line="360" w:lineRule="auto"/>
              <w:jc w:val="both"/>
            </w:pPr>
            <w:r w:rsidRPr="0066080F">
              <w:t>Dishman Pharmaceutical &amp; Chemical Ltd</w:t>
            </w:r>
          </w:p>
        </w:tc>
        <w:tc>
          <w:tcPr>
            <w:tcW w:w="1923" w:type="dxa"/>
            <w:vAlign w:val="center"/>
          </w:tcPr>
          <w:p w:rsidR="00EB2FF1" w:rsidRPr="0066080F" w:rsidRDefault="00EB2FF1" w:rsidP="0066080F">
            <w:pPr>
              <w:spacing w:line="360" w:lineRule="auto"/>
              <w:jc w:val="both"/>
            </w:pPr>
            <w:r w:rsidRPr="0066080F">
              <w:t>29/03/</w:t>
            </w:r>
            <w:r w:rsidR="00AF48E0" w:rsidRPr="0066080F">
              <w:t>15</w:t>
            </w:r>
            <w:r w:rsidRPr="0066080F">
              <w:t>-</w:t>
            </w:r>
            <w:r w:rsidR="00AF48E0" w:rsidRPr="0066080F">
              <w:t>16</w:t>
            </w:r>
            <w:r w:rsidRPr="0066080F">
              <w:t>/10/</w:t>
            </w:r>
            <w:r w:rsidR="00AF48E0" w:rsidRPr="0066080F">
              <w:t>15</w:t>
            </w:r>
          </w:p>
        </w:tc>
        <w:tc>
          <w:tcPr>
            <w:tcW w:w="1217" w:type="dxa"/>
            <w:vAlign w:val="center"/>
          </w:tcPr>
          <w:p w:rsidR="00EB2FF1" w:rsidRPr="0066080F" w:rsidRDefault="00EB2FF1" w:rsidP="0066080F">
            <w:pPr>
              <w:spacing w:line="360" w:lineRule="auto"/>
              <w:jc w:val="both"/>
            </w:pPr>
            <w:r w:rsidRPr="0066080F">
              <w:t>34.33500</w:t>
            </w:r>
          </w:p>
        </w:tc>
        <w:tc>
          <w:tcPr>
            <w:tcW w:w="1083" w:type="dxa"/>
            <w:vAlign w:val="center"/>
          </w:tcPr>
          <w:p w:rsidR="00EB2FF1" w:rsidRPr="0066080F" w:rsidRDefault="00AF48E0" w:rsidP="0066080F">
            <w:pPr>
              <w:spacing w:line="360" w:lineRule="auto"/>
              <w:jc w:val="both"/>
            </w:pPr>
            <w:r w:rsidRPr="0066080F">
              <w:t>20</w:t>
            </w:r>
            <w:r w:rsidR="00EB2FF1" w:rsidRPr="0066080F">
              <w:t>5-</w:t>
            </w:r>
            <w:r w:rsidRPr="0066080F">
              <w:t>20</w:t>
            </w:r>
            <w:r w:rsidR="00EB2FF1" w:rsidRPr="0066080F">
              <w:t>5</w:t>
            </w:r>
          </w:p>
        </w:tc>
        <w:tc>
          <w:tcPr>
            <w:tcW w:w="963" w:type="dxa"/>
            <w:vAlign w:val="center"/>
          </w:tcPr>
          <w:p w:rsidR="00EB2FF1" w:rsidRPr="0066080F" w:rsidRDefault="00AF48E0" w:rsidP="0066080F">
            <w:pPr>
              <w:spacing w:line="360" w:lineRule="auto"/>
              <w:jc w:val="both"/>
            </w:pPr>
            <w:r w:rsidRPr="0066080F">
              <w:t>20</w:t>
            </w:r>
            <w:r w:rsidR="00EB2FF1" w:rsidRPr="0066080F">
              <w:t>5</w:t>
            </w:r>
          </w:p>
        </w:tc>
        <w:tc>
          <w:tcPr>
            <w:tcW w:w="876" w:type="dxa"/>
            <w:vAlign w:val="center"/>
          </w:tcPr>
          <w:p w:rsidR="00EB2FF1" w:rsidRPr="0066080F" w:rsidRDefault="00EB2FF1" w:rsidP="0066080F">
            <w:pPr>
              <w:spacing w:line="360" w:lineRule="auto"/>
              <w:jc w:val="both"/>
            </w:pPr>
            <w:r w:rsidRPr="0066080F">
              <w:t>298.30</w:t>
            </w:r>
          </w:p>
        </w:tc>
        <w:tc>
          <w:tcPr>
            <w:tcW w:w="1777" w:type="dxa"/>
            <w:vAlign w:val="center"/>
          </w:tcPr>
          <w:p w:rsidR="00EB2FF1" w:rsidRPr="0066080F" w:rsidRDefault="00EB2FF1" w:rsidP="0066080F">
            <w:pPr>
              <w:spacing w:line="360" w:lineRule="auto"/>
              <w:jc w:val="both"/>
            </w:pPr>
            <w:r w:rsidRPr="0066080F">
              <w:t xml:space="preserve">+ </w:t>
            </w:r>
            <w:r w:rsidR="00AF48E0" w:rsidRPr="0066080F">
              <w:t>16</w:t>
            </w:r>
            <w:r w:rsidRPr="0066080F">
              <w:t>3.30</w:t>
            </w:r>
          </w:p>
        </w:tc>
      </w:tr>
      <w:tr w:rsidR="00EB2FF1" w:rsidRPr="0066080F" w:rsidTr="005B1C6B">
        <w:trPr>
          <w:jc w:val="center"/>
        </w:trPr>
        <w:tc>
          <w:tcPr>
            <w:tcW w:w="770" w:type="dxa"/>
            <w:vAlign w:val="center"/>
          </w:tcPr>
          <w:p w:rsidR="00EB2FF1" w:rsidRPr="0066080F" w:rsidRDefault="00EB2FF1" w:rsidP="0066080F">
            <w:pPr>
              <w:spacing w:line="360" w:lineRule="auto"/>
              <w:jc w:val="both"/>
            </w:pPr>
            <w:r w:rsidRPr="0066080F">
              <w:t>8</w:t>
            </w:r>
          </w:p>
        </w:tc>
        <w:tc>
          <w:tcPr>
            <w:tcW w:w="1789" w:type="dxa"/>
          </w:tcPr>
          <w:p w:rsidR="00EB2FF1" w:rsidRPr="0066080F" w:rsidRDefault="00EB2FF1" w:rsidP="0066080F">
            <w:pPr>
              <w:spacing w:line="360" w:lineRule="auto"/>
              <w:jc w:val="both"/>
            </w:pPr>
            <w:r w:rsidRPr="0066080F">
              <w:t>Biocan Ltd</w:t>
            </w:r>
          </w:p>
        </w:tc>
        <w:tc>
          <w:tcPr>
            <w:tcW w:w="1923" w:type="dxa"/>
            <w:vAlign w:val="center"/>
          </w:tcPr>
          <w:p w:rsidR="00EB2FF1" w:rsidRPr="0066080F" w:rsidRDefault="00AF48E0" w:rsidP="0066080F">
            <w:pPr>
              <w:spacing w:line="360" w:lineRule="auto"/>
              <w:jc w:val="both"/>
            </w:pPr>
            <w:r w:rsidRPr="0066080F">
              <w:t>15</w:t>
            </w:r>
            <w:r w:rsidR="00EB2FF1" w:rsidRPr="0066080F">
              <w:t>/03/</w:t>
            </w:r>
            <w:r w:rsidRPr="0066080F">
              <w:t>15</w:t>
            </w:r>
            <w:r w:rsidR="00EB2FF1" w:rsidRPr="0066080F">
              <w:t>-</w:t>
            </w:r>
            <w:r w:rsidRPr="0066080F">
              <w:t>20</w:t>
            </w:r>
            <w:r w:rsidR="00EB2FF1" w:rsidRPr="0066080F">
              <w:t>/03/</w:t>
            </w:r>
            <w:r w:rsidRPr="0066080F">
              <w:t>15</w:t>
            </w:r>
          </w:p>
        </w:tc>
        <w:tc>
          <w:tcPr>
            <w:tcW w:w="1217" w:type="dxa"/>
            <w:vAlign w:val="center"/>
          </w:tcPr>
          <w:p w:rsidR="00EB2FF1" w:rsidRPr="0066080F" w:rsidRDefault="00AF48E0" w:rsidP="0066080F">
            <w:pPr>
              <w:spacing w:line="360" w:lineRule="auto"/>
              <w:jc w:val="both"/>
            </w:pPr>
            <w:r w:rsidRPr="0066080F">
              <w:t>20</w:t>
            </w:r>
            <w:r w:rsidR="00EB2FF1" w:rsidRPr="0066080F">
              <w:t>0</w:t>
            </w:r>
          </w:p>
        </w:tc>
        <w:tc>
          <w:tcPr>
            <w:tcW w:w="1083" w:type="dxa"/>
            <w:vAlign w:val="center"/>
          </w:tcPr>
          <w:p w:rsidR="00EB2FF1" w:rsidRPr="0066080F" w:rsidRDefault="00EB2FF1" w:rsidP="0066080F">
            <w:pPr>
              <w:spacing w:line="360" w:lineRule="auto"/>
              <w:jc w:val="both"/>
            </w:pPr>
            <w:r w:rsidRPr="0066080F">
              <w:t>270-3</w:t>
            </w:r>
            <w:r w:rsidR="00AF48E0" w:rsidRPr="0066080F">
              <w:t>20</w:t>
            </w:r>
          </w:p>
        </w:tc>
        <w:tc>
          <w:tcPr>
            <w:tcW w:w="963" w:type="dxa"/>
            <w:vAlign w:val="center"/>
          </w:tcPr>
          <w:p w:rsidR="00EB2FF1" w:rsidRPr="0066080F" w:rsidRDefault="00EB2FF1" w:rsidP="0066080F">
            <w:pPr>
              <w:spacing w:line="360" w:lineRule="auto"/>
              <w:jc w:val="both"/>
            </w:pPr>
            <w:r w:rsidRPr="0066080F">
              <w:t>3</w:t>
            </w:r>
            <w:r w:rsidR="00AF48E0" w:rsidRPr="0066080F">
              <w:t>20</w:t>
            </w:r>
          </w:p>
        </w:tc>
        <w:tc>
          <w:tcPr>
            <w:tcW w:w="876" w:type="dxa"/>
            <w:vAlign w:val="center"/>
          </w:tcPr>
          <w:p w:rsidR="00EB2FF1" w:rsidRPr="0066080F" w:rsidRDefault="00EB2FF1" w:rsidP="0066080F">
            <w:pPr>
              <w:spacing w:line="360" w:lineRule="auto"/>
              <w:jc w:val="both"/>
            </w:pPr>
            <w:r w:rsidRPr="0066080F">
              <w:t>451.95</w:t>
            </w:r>
          </w:p>
        </w:tc>
        <w:tc>
          <w:tcPr>
            <w:tcW w:w="1777" w:type="dxa"/>
            <w:vAlign w:val="center"/>
          </w:tcPr>
          <w:p w:rsidR="00EB2FF1" w:rsidRPr="0066080F" w:rsidRDefault="00EB2FF1" w:rsidP="0066080F">
            <w:pPr>
              <w:spacing w:line="360" w:lineRule="auto"/>
              <w:jc w:val="both"/>
            </w:pPr>
            <w:r w:rsidRPr="0066080F">
              <w:t xml:space="preserve">+ </w:t>
            </w:r>
            <w:r w:rsidR="00AF48E0" w:rsidRPr="0066080F">
              <w:t>16</w:t>
            </w:r>
            <w:r w:rsidRPr="0066080F">
              <w:t>6.95</w:t>
            </w:r>
          </w:p>
        </w:tc>
      </w:tr>
    </w:tbl>
    <w:p w:rsidR="00EB2FF1" w:rsidRPr="0066080F" w:rsidRDefault="00EB2FF1" w:rsidP="0066080F">
      <w:pPr>
        <w:spacing w:line="360" w:lineRule="auto"/>
        <w:jc w:val="both"/>
      </w:pPr>
    </w:p>
    <w:p w:rsidR="00EB2FF1" w:rsidRPr="0066080F" w:rsidRDefault="00EB2FF1" w:rsidP="0066080F">
      <w:pPr>
        <w:spacing w:line="360" w:lineRule="auto"/>
        <w:jc w:val="both"/>
      </w:pPr>
    </w:p>
    <w:p w:rsidR="00EB2FF1" w:rsidRPr="0066080F" w:rsidRDefault="00EB2FF1" w:rsidP="0066080F">
      <w:pPr>
        <w:spacing w:line="360" w:lineRule="auto"/>
        <w:jc w:val="both"/>
      </w:pPr>
    </w:p>
    <w:p w:rsidR="00EB2FF1" w:rsidRPr="0066080F" w:rsidRDefault="00EB2FF1" w:rsidP="0066080F">
      <w:pPr>
        <w:spacing w:line="360" w:lineRule="auto"/>
        <w:jc w:val="both"/>
      </w:pPr>
    </w:p>
    <w:p w:rsidR="00EB2FF1" w:rsidRPr="0066080F" w:rsidRDefault="00EB2FF1" w:rsidP="0066080F">
      <w:pPr>
        <w:spacing w:line="360" w:lineRule="auto"/>
        <w:jc w:val="both"/>
      </w:pPr>
    </w:p>
    <w:p w:rsidR="00EB2FF1" w:rsidRPr="0066080F" w:rsidRDefault="00EB2FF1" w:rsidP="0066080F">
      <w:pPr>
        <w:keepNext/>
        <w:spacing w:line="360" w:lineRule="auto"/>
        <w:jc w:val="both"/>
      </w:pPr>
      <w:r w:rsidRPr="0066080F">
        <w:rPr>
          <w:noProof/>
          <w:lang w:bidi="te-IN"/>
        </w:rPr>
        <w:drawing>
          <wp:inline distT="0" distB="0" distL="0" distR="0" wp14:anchorId="1B90735E" wp14:editId="0FA6A528">
            <wp:extent cx="6626225" cy="3975735"/>
            <wp:effectExtent l="0" t="0" r="0" b="0"/>
            <wp:docPr id="103"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B2FF1" w:rsidRPr="0066080F" w:rsidRDefault="00EB2FF1" w:rsidP="0066080F">
      <w:pPr>
        <w:spacing w:line="360" w:lineRule="auto"/>
        <w:jc w:val="both"/>
      </w:pPr>
    </w:p>
    <w:p w:rsidR="00EB2FF1" w:rsidRPr="0066080F" w:rsidRDefault="00EB2FF1" w:rsidP="0066080F">
      <w:pPr>
        <w:spacing w:line="360" w:lineRule="auto"/>
        <w:jc w:val="both"/>
        <w:rPr>
          <w:b/>
        </w:rPr>
      </w:pPr>
      <w:r w:rsidRPr="0066080F">
        <w:rPr>
          <w:b/>
        </w:rPr>
        <w:t>INTERPRETATION:</w:t>
      </w:r>
    </w:p>
    <w:p w:rsidR="00EB2FF1" w:rsidRPr="0066080F" w:rsidRDefault="00EB2FF1" w:rsidP="0066080F">
      <w:pPr>
        <w:spacing w:line="360" w:lineRule="auto"/>
        <w:jc w:val="both"/>
      </w:pPr>
    </w:p>
    <w:p w:rsidR="00EB2FF1" w:rsidRPr="0066080F" w:rsidRDefault="0066080F" w:rsidP="0066080F">
      <w:pPr>
        <w:spacing w:line="360" w:lineRule="auto"/>
        <w:jc w:val="both"/>
        <w:rPr>
          <w:b/>
        </w:rPr>
      </w:pPr>
      <w:r w:rsidRPr="0066080F">
        <w:t>The difference between the LTP and the Issue price of Advanta India Ltd, AMD Metplast Ltd, SMS Pharmaceuticals Ltd, Plethico Pharmaceuticals Ltd, Nectar Life sciences Ltd, Indoco Remedies Ltd, Dishman Pharmaceutical &amp; Chemical Ltd, and Biocan Ltd is projected to be (+)396, (-)29.30, (-)86.55, (+)202, (+)8.50, (+)1.75, (+)163.30, (+)166. We can infer that investors who invested in Advanta India Ltd and Biocan Ltd received the greatest advantage of Rs.396 and Rs.166.95, respectively, based on LTP and Issue price disparities. It can be deduced that all of the aforementioned stocks are undervalued, with the exception of AMD Metplast Ltd and SMS Pharmaceuticals Ltd, which are overvalued.</w:t>
      </w:r>
    </w:p>
    <w:p w:rsidR="0066080F" w:rsidRPr="0066080F" w:rsidRDefault="0066080F" w:rsidP="0066080F">
      <w:pPr>
        <w:spacing w:line="360" w:lineRule="auto"/>
        <w:jc w:val="both"/>
        <w:rPr>
          <w:b/>
        </w:rPr>
      </w:pPr>
    </w:p>
    <w:p w:rsidR="00EB2FF1" w:rsidRPr="002052DF" w:rsidRDefault="002052DF" w:rsidP="002052DF">
      <w:pPr>
        <w:pStyle w:val="ListParagraph"/>
        <w:numPr>
          <w:ilvl w:val="0"/>
          <w:numId w:val="39"/>
        </w:numPr>
        <w:spacing w:line="360" w:lineRule="auto"/>
        <w:jc w:val="center"/>
        <w:rPr>
          <w:rFonts w:ascii="Times New Roman" w:hAnsi="Times New Roman"/>
          <w:b/>
          <w:sz w:val="24"/>
          <w:szCs w:val="24"/>
        </w:rPr>
      </w:pPr>
      <w:r w:rsidRPr="002052DF">
        <w:rPr>
          <w:rFonts w:ascii="Times New Roman" w:hAnsi="Times New Roman"/>
          <w:b/>
          <w:sz w:val="24"/>
          <w:szCs w:val="24"/>
        </w:rPr>
        <w:t>FINDINGS:</w:t>
      </w:r>
    </w:p>
    <w:p w:rsidR="00EB2FF1" w:rsidRPr="0066080F" w:rsidRDefault="00EB2FF1" w:rsidP="0066080F">
      <w:pPr>
        <w:spacing w:line="360" w:lineRule="auto"/>
        <w:jc w:val="both"/>
        <w:rPr>
          <w:b/>
        </w:rPr>
      </w:pPr>
    </w:p>
    <w:p w:rsidR="0066080F" w:rsidRPr="0066080F" w:rsidRDefault="0066080F" w:rsidP="0066080F">
      <w:pPr>
        <w:spacing w:line="360" w:lineRule="auto"/>
        <w:jc w:val="both"/>
      </w:pPr>
      <w:r w:rsidRPr="0066080F">
        <w:t>When comparing IPO returns to nifty returns from 2015 to 2018, the IPO returns are higher.</w:t>
      </w:r>
    </w:p>
    <w:p w:rsidR="0066080F" w:rsidRPr="0066080F" w:rsidRDefault="0066080F" w:rsidP="0066080F">
      <w:pPr>
        <w:spacing w:line="360" w:lineRule="auto"/>
        <w:jc w:val="both"/>
      </w:pPr>
      <w:r w:rsidRPr="0066080F">
        <w:t>Investors have benefited the most from Just Dial, Edu Comp Solution, Decor, and Capital.</w:t>
      </w:r>
    </w:p>
    <w:p w:rsidR="0066080F" w:rsidRPr="0066080F" w:rsidRDefault="0066080F" w:rsidP="0066080F">
      <w:pPr>
        <w:spacing w:line="360" w:lineRule="auto"/>
        <w:jc w:val="both"/>
      </w:pPr>
      <w:r w:rsidRPr="0066080F">
        <w:lastRenderedPageBreak/>
        <w:t>Sun TV Ltd has provided the investor with the most negative benefit.</w:t>
      </w:r>
    </w:p>
    <w:p w:rsidR="0066080F" w:rsidRPr="0066080F" w:rsidRDefault="0066080F" w:rsidP="0066080F">
      <w:pPr>
        <w:spacing w:line="360" w:lineRule="auto"/>
        <w:jc w:val="both"/>
      </w:pPr>
      <w:r w:rsidRPr="0066080F">
        <w:t>According to this research, IPOs had an 81 percent favourable response and a 29 percent negative response or benefit to investors.</w:t>
      </w:r>
    </w:p>
    <w:p w:rsidR="0066080F" w:rsidRPr="0066080F" w:rsidRDefault="0066080F" w:rsidP="0066080F">
      <w:pPr>
        <w:spacing w:line="360" w:lineRule="auto"/>
        <w:jc w:val="both"/>
      </w:pPr>
      <w:r w:rsidRPr="0066080F">
        <w:t>Investors are more enthusiastic about fresh issues or initial public offerings (IPOs).</w:t>
      </w:r>
    </w:p>
    <w:p w:rsidR="0066080F" w:rsidRPr="0066080F" w:rsidRDefault="0066080F" w:rsidP="0066080F">
      <w:pPr>
        <w:spacing w:line="360" w:lineRule="auto"/>
        <w:jc w:val="both"/>
      </w:pPr>
    </w:p>
    <w:p w:rsidR="0066080F" w:rsidRPr="002052DF" w:rsidRDefault="002052DF" w:rsidP="002052DF">
      <w:pPr>
        <w:pStyle w:val="ListParagraph"/>
        <w:numPr>
          <w:ilvl w:val="0"/>
          <w:numId w:val="39"/>
        </w:numPr>
        <w:spacing w:line="360" w:lineRule="auto"/>
        <w:jc w:val="center"/>
        <w:rPr>
          <w:rFonts w:ascii="Times New Roman" w:hAnsi="Times New Roman"/>
          <w:sz w:val="24"/>
          <w:szCs w:val="24"/>
        </w:rPr>
      </w:pPr>
      <w:r w:rsidRPr="002052DF">
        <w:rPr>
          <w:rFonts w:ascii="Times New Roman" w:hAnsi="Times New Roman"/>
          <w:b/>
          <w:sz w:val="24"/>
          <w:szCs w:val="24"/>
        </w:rPr>
        <w:t>SUGGESTIONS</w:t>
      </w:r>
      <w:r w:rsidRPr="002052DF">
        <w:rPr>
          <w:rFonts w:ascii="Times New Roman" w:hAnsi="Times New Roman"/>
          <w:sz w:val="24"/>
          <w:szCs w:val="24"/>
        </w:rPr>
        <w:t>:</w:t>
      </w:r>
    </w:p>
    <w:p w:rsidR="0066080F" w:rsidRPr="0066080F" w:rsidRDefault="0066080F" w:rsidP="0066080F">
      <w:pPr>
        <w:spacing w:line="360" w:lineRule="auto"/>
        <w:jc w:val="both"/>
      </w:pPr>
      <w:r w:rsidRPr="0066080F">
        <w:t xml:space="preserve"> When compared to the Nifty benchmark portfolio, IPO returns are greater. As a result, an investor may benefit from investing in initial public offerings (IPOs).</w:t>
      </w:r>
    </w:p>
    <w:p w:rsidR="0066080F" w:rsidRPr="0066080F" w:rsidRDefault="0066080F" w:rsidP="0066080F">
      <w:pPr>
        <w:spacing w:line="360" w:lineRule="auto"/>
        <w:jc w:val="both"/>
      </w:pPr>
      <w:r w:rsidRPr="0066080F">
        <w:t>The likelihood of a stock being listed has a positive return of 81 percent and a negative return of 29 percent.</w:t>
      </w:r>
    </w:p>
    <w:p w:rsidR="0066080F" w:rsidRPr="0066080F" w:rsidRDefault="0066080F" w:rsidP="0066080F">
      <w:pPr>
        <w:spacing w:line="360" w:lineRule="auto"/>
        <w:jc w:val="both"/>
      </w:pPr>
      <w:r w:rsidRPr="0066080F">
        <w:t>To earn higher returns or achieve financial objectives, investors must adopt a long-term investing mentality rather than a short-term investment philosophy.</w:t>
      </w:r>
    </w:p>
    <w:p w:rsidR="0066080F" w:rsidRPr="0066080F" w:rsidRDefault="0066080F" w:rsidP="0066080F">
      <w:pPr>
        <w:spacing w:line="360" w:lineRule="auto"/>
        <w:jc w:val="both"/>
      </w:pPr>
      <w:r w:rsidRPr="0066080F">
        <w:t>In order to accomplish his objectives, a smart investor should diversify and minimise his risk by investing in a variety of assets with varying risks and returns.</w:t>
      </w:r>
    </w:p>
    <w:p w:rsidR="0066080F" w:rsidRPr="0066080F" w:rsidRDefault="0066080F" w:rsidP="0066080F">
      <w:pPr>
        <w:spacing w:line="360" w:lineRule="auto"/>
        <w:jc w:val="both"/>
      </w:pPr>
      <w:r w:rsidRPr="0066080F">
        <w:t>Investing in mutual fund schemes via a systematic investment plan (sip) is a simple option for investors. Mutual funds provide a well-diversified, professionally managed portfolio at a reasonable cost.</w:t>
      </w:r>
    </w:p>
    <w:p w:rsidR="0066080F" w:rsidRPr="0066080F" w:rsidRDefault="0066080F" w:rsidP="0066080F">
      <w:pPr>
        <w:spacing w:line="360" w:lineRule="auto"/>
        <w:jc w:val="both"/>
      </w:pPr>
      <w:r w:rsidRPr="0066080F">
        <w:t>Investors must be aware of fresh information that indicates larger price movements in the stock market.</w:t>
      </w:r>
    </w:p>
    <w:p w:rsidR="0066080F" w:rsidRPr="0066080F" w:rsidRDefault="0066080F" w:rsidP="0066080F">
      <w:pPr>
        <w:spacing w:line="360" w:lineRule="auto"/>
        <w:jc w:val="both"/>
      </w:pPr>
    </w:p>
    <w:p w:rsidR="0066080F" w:rsidRPr="002052DF" w:rsidRDefault="002052DF" w:rsidP="002052DF">
      <w:pPr>
        <w:pStyle w:val="ListParagraph"/>
        <w:numPr>
          <w:ilvl w:val="0"/>
          <w:numId w:val="39"/>
        </w:numPr>
        <w:spacing w:line="360" w:lineRule="auto"/>
        <w:jc w:val="center"/>
        <w:rPr>
          <w:rFonts w:ascii="Times New Roman" w:hAnsi="Times New Roman"/>
          <w:b/>
          <w:sz w:val="24"/>
          <w:szCs w:val="24"/>
        </w:rPr>
      </w:pPr>
      <w:r w:rsidRPr="002052DF">
        <w:rPr>
          <w:rFonts w:ascii="Times New Roman" w:hAnsi="Times New Roman"/>
          <w:b/>
          <w:sz w:val="24"/>
          <w:szCs w:val="24"/>
        </w:rPr>
        <w:t>CONCLUSIONS</w:t>
      </w:r>
    </w:p>
    <w:p w:rsidR="0066080F" w:rsidRPr="0066080F" w:rsidRDefault="0066080F" w:rsidP="0066080F">
      <w:pPr>
        <w:spacing w:line="360" w:lineRule="auto"/>
        <w:jc w:val="both"/>
      </w:pPr>
      <w:r w:rsidRPr="0066080F">
        <w:t>Because SEBI was established and regulates the operations and functioning of the new issue market, it is now safer for the general people to participate in various areas of the primary market than it was before.</w:t>
      </w:r>
    </w:p>
    <w:p w:rsidR="0066080F" w:rsidRPr="0066080F" w:rsidRDefault="0066080F" w:rsidP="0066080F">
      <w:pPr>
        <w:spacing w:line="360" w:lineRule="auto"/>
        <w:jc w:val="both"/>
      </w:pPr>
      <w:r w:rsidRPr="0066080F">
        <w:t>In a short amount of time, primary market returns are extremely attractive, particularly on the day of listing. However, investors in initial public offerings (IPOs) should make informed decisions when selecting the finest business.</w:t>
      </w:r>
    </w:p>
    <w:p w:rsidR="0066080F" w:rsidRPr="0066080F" w:rsidRDefault="0066080F" w:rsidP="0066080F">
      <w:pPr>
        <w:spacing w:line="360" w:lineRule="auto"/>
        <w:jc w:val="both"/>
      </w:pPr>
      <w:r w:rsidRPr="0066080F">
        <w:t>The ICICI bank ltd. scrip has the greatest positive difference between issue price and LTP, according to the whole research.</w:t>
      </w:r>
    </w:p>
    <w:p w:rsidR="0066080F" w:rsidRPr="0066080F" w:rsidRDefault="0066080F" w:rsidP="0066080F">
      <w:pPr>
        <w:spacing w:line="360" w:lineRule="auto"/>
        <w:jc w:val="both"/>
      </w:pPr>
      <w:r w:rsidRPr="0066080F">
        <w:t>Sun TV Ltd scrip has the most negative difference between Issue price and LTP, according to the study's findings.</w:t>
      </w:r>
    </w:p>
    <w:p w:rsidR="0066080F" w:rsidRPr="0066080F" w:rsidRDefault="0066080F" w:rsidP="0066080F">
      <w:pPr>
        <w:spacing w:line="360" w:lineRule="auto"/>
        <w:jc w:val="both"/>
      </w:pPr>
      <w:r w:rsidRPr="0066080F">
        <w:t>According to the findings, the Textiles and Media sectors' scrips have the most negative disparity between LTP and Issue price.</w:t>
      </w:r>
    </w:p>
    <w:p w:rsidR="0066080F" w:rsidRPr="0066080F" w:rsidRDefault="0066080F" w:rsidP="0066080F">
      <w:pPr>
        <w:spacing w:line="360" w:lineRule="auto"/>
        <w:jc w:val="both"/>
      </w:pPr>
      <w:r w:rsidRPr="0066080F">
        <w:t>According to the findings, the scrips in the banking and power or energy sectors had the most positive difference between LTP and Issue price.</w:t>
      </w:r>
    </w:p>
    <w:p w:rsidR="0066080F" w:rsidRPr="0066080F" w:rsidRDefault="0066080F" w:rsidP="0066080F">
      <w:pPr>
        <w:spacing w:line="360" w:lineRule="auto"/>
        <w:jc w:val="both"/>
        <w:rPr>
          <w:b/>
        </w:rPr>
      </w:pPr>
      <w:r w:rsidRPr="0066080F">
        <w:rPr>
          <w:b/>
        </w:rPr>
        <w:t>BIBLIOGRAPHY</w:t>
      </w:r>
    </w:p>
    <w:p w:rsidR="0066080F" w:rsidRPr="0066080F" w:rsidRDefault="0066080F" w:rsidP="0066080F">
      <w:pPr>
        <w:spacing w:line="360" w:lineRule="auto"/>
        <w:jc w:val="both"/>
      </w:pPr>
      <w:r w:rsidRPr="0066080F">
        <w:lastRenderedPageBreak/>
        <w:t>SECURITY ANALYSIS AND PORTFOLIO MANAGEMENT —— PUNITHAVATHY PANDIAN SECURITY ANALYSIS AND PORTFOLIO MANAGEMENT SECURITY ANALYSIS AND PORTFOLIO MANAGEMENT SECURITY ANALYSIS AND PORTFOLIO MANAGE</w:t>
      </w:r>
    </w:p>
    <w:p w:rsidR="0066080F" w:rsidRPr="0066080F" w:rsidRDefault="0066080F" w:rsidP="0066080F">
      <w:pPr>
        <w:spacing w:line="360" w:lineRule="auto"/>
        <w:jc w:val="both"/>
      </w:pPr>
      <w:r w:rsidRPr="0066080F">
        <w:t>THE ESSENTIALS OF FINANCIAL MANAGEMENT —— I.M. PANDEY</w:t>
      </w:r>
    </w:p>
    <w:p w:rsidR="0066080F" w:rsidRPr="0066080F" w:rsidRDefault="0066080F" w:rsidP="0066080F">
      <w:pPr>
        <w:spacing w:line="360" w:lineRule="auto"/>
        <w:jc w:val="both"/>
      </w:pPr>
      <w:r w:rsidRPr="0066080F">
        <w:t>CAPITAL MARKETS IN INDIA —— AGARWAL, SANJEEV</w:t>
      </w:r>
    </w:p>
    <w:p w:rsidR="0066080F" w:rsidRPr="0066080F" w:rsidRDefault="0066080F" w:rsidP="0066080F">
      <w:pPr>
        <w:spacing w:line="360" w:lineRule="auto"/>
        <w:jc w:val="both"/>
      </w:pPr>
      <w:r w:rsidRPr="0066080F">
        <w:t>Website Recommendation:</w:t>
      </w:r>
    </w:p>
    <w:p w:rsidR="00EB2FF1" w:rsidRPr="0066080F" w:rsidRDefault="0066080F" w:rsidP="0066080F">
      <w:pPr>
        <w:spacing w:line="360" w:lineRule="auto"/>
        <w:jc w:val="both"/>
      </w:pPr>
      <w:r w:rsidRPr="0066080F">
        <w:t>• http://www.nseindia.com • http://www.icicibank.com • http://www.syndicatebank.com • http://www.capitalmarket.com • http://www.sebi.com • http://www.google.com</w:t>
      </w:r>
    </w:p>
    <w:sectPr w:rsidR="00EB2FF1" w:rsidRPr="0066080F" w:rsidSect="00EA3B10">
      <w:headerReference w:type="default" r:id="rId29"/>
      <w:footerReference w:type="default" r:id="rId30"/>
      <w:pgSz w:w="11907" w:h="16839" w:code="9"/>
      <w:pgMar w:top="1101" w:right="720" w:bottom="720" w:left="720" w:header="284" w:footer="720" w:gutter="0"/>
      <w:pgNumType w:start="4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F60" w:rsidRDefault="006D4F60" w:rsidP="00032BAA">
      <w:r>
        <w:separator/>
      </w:r>
    </w:p>
  </w:endnote>
  <w:endnote w:type="continuationSeparator" w:id="0">
    <w:p w:rsidR="006D4F60" w:rsidRDefault="006D4F60" w:rsidP="0003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10" w:rsidRPr="00EA3B10" w:rsidRDefault="00EA3B10" w:rsidP="00EA3B10">
    <w:pPr>
      <w:autoSpaceDE w:val="0"/>
      <w:autoSpaceDN w:val="0"/>
      <w:adjustRightInd w:val="0"/>
      <w:rPr>
        <w:rFonts w:ascii="Calibri" w:eastAsiaTheme="minorHAnsi" w:hAnsi="Calibri" w:cs="Calibri"/>
        <w:color w:val="000000"/>
        <w:lang w:val="en-IN" w:bidi="te-IN"/>
      </w:rPr>
    </w:pPr>
  </w:p>
  <w:p w:rsidR="00953F34" w:rsidRDefault="00EA3B10" w:rsidP="00EA3B10">
    <w:pPr>
      <w:pStyle w:val="Footer"/>
      <w:tabs>
        <w:tab w:val="clear" w:pos="8640"/>
        <w:tab w:val="right" w:pos="10490"/>
      </w:tabs>
    </w:pPr>
    <w:r w:rsidRPr="00EA3B10">
      <w:rPr>
        <w:rFonts w:ascii="Calibri" w:eastAsiaTheme="minorHAnsi" w:hAnsi="Calibri" w:cs="Calibri"/>
        <w:color w:val="000000"/>
        <w:lang w:val="en-IN" w:bidi="te-IN"/>
      </w:rPr>
      <w:t xml:space="preserve"> </w:t>
    </w:r>
    <w:r w:rsidRPr="00EA3B10">
      <w:rPr>
        <w:rFonts w:ascii="Calibri" w:eastAsiaTheme="minorHAnsi" w:hAnsi="Calibri" w:cs="Calibri"/>
        <w:b/>
        <w:bCs/>
        <w:color w:val="000000"/>
        <w:sz w:val="28"/>
        <w:szCs w:val="28"/>
        <w:lang w:val="en-IN" w:bidi="te-IN"/>
      </w:rPr>
      <w:t xml:space="preserve">Vol12, Issue4, 2021 </w:t>
    </w:r>
    <w:r>
      <w:rPr>
        <w:rFonts w:ascii="Calibri" w:eastAsiaTheme="minorHAnsi" w:hAnsi="Calibri" w:cs="Calibri"/>
        <w:b/>
        <w:bCs/>
        <w:color w:val="000000"/>
        <w:sz w:val="28"/>
        <w:szCs w:val="28"/>
        <w:lang w:val="en-IN" w:bidi="te-IN"/>
      </w:rPr>
      <w:tab/>
    </w:r>
    <w:r>
      <w:rPr>
        <w:rFonts w:ascii="Calibri" w:eastAsiaTheme="minorHAnsi" w:hAnsi="Calibri" w:cs="Calibri"/>
        <w:b/>
        <w:bCs/>
        <w:color w:val="000000"/>
        <w:sz w:val="28"/>
        <w:szCs w:val="28"/>
        <w:lang w:val="en-IN" w:bidi="te-IN"/>
      </w:rPr>
      <w:tab/>
    </w:r>
    <w:r w:rsidRPr="00EA3B10">
      <w:rPr>
        <w:rFonts w:ascii="Calibri" w:eastAsiaTheme="minorHAnsi" w:hAnsi="Calibri" w:cs="Calibri"/>
        <w:b/>
        <w:bCs/>
        <w:color w:val="000000"/>
        <w:lang w:val="en-IN" w:bidi="te-IN"/>
      </w:rPr>
      <w:t xml:space="preserve">Page Number </w:t>
    </w:r>
    <w:r w:rsidR="00147CBD" w:rsidRPr="00EA3B10">
      <w:rPr>
        <w:rFonts w:ascii="Calibri" w:eastAsiaTheme="minorHAnsi" w:hAnsi="Calibri" w:cs="Calibri"/>
        <w:b/>
        <w:bCs/>
        <w:color w:val="000000"/>
        <w:lang w:val="en-IN" w:bidi="te-IN"/>
      </w:rPr>
      <w:fldChar w:fldCharType="begin"/>
    </w:r>
    <w:r w:rsidR="00147CBD" w:rsidRPr="00EA3B10">
      <w:rPr>
        <w:rFonts w:ascii="Calibri" w:eastAsiaTheme="minorHAnsi" w:hAnsi="Calibri" w:cs="Calibri"/>
        <w:b/>
        <w:bCs/>
        <w:color w:val="000000"/>
        <w:lang w:val="en-IN" w:bidi="te-IN"/>
      </w:rPr>
      <w:instrText xml:space="preserve"> PAGE   \* MERGEFORMAT </w:instrText>
    </w:r>
    <w:r w:rsidR="00147CBD" w:rsidRPr="00EA3B10">
      <w:rPr>
        <w:rFonts w:ascii="Calibri" w:eastAsiaTheme="minorHAnsi" w:hAnsi="Calibri" w:cs="Calibri"/>
        <w:b/>
        <w:bCs/>
        <w:color w:val="000000"/>
        <w:lang w:val="en-IN" w:bidi="te-IN"/>
      </w:rPr>
      <w:fldChar w:fldCharType="separate"/>
    </w:r>
    <w:r w:rsidR="00C53D29">
      <w:rPr>
        <w:rFonts w:ascii="Calibri" w:eastAsiaTheme="minorHAnsi" w:hAnsi="Calibri" w:cs="Calibri"/>
        <w:b/>
        <w:bCs/>
        <w:noProof/>
        <w:color w:val="000000"/>
        <w:lang w:val="en-IN" w:bidi="te-IN"/>
      </w:rPr>
      <w:t>448</w:t>
    </w:r>
    <w:r w:rsidR="00147CBD" w:rsidRPr="00EA3B10">
      <w:rPr>
        <w:rFonts w:ascii="Calibri" w:eastAsiaTheme="minorHAnsi" w:hAnsi="Calibri" w:cs="Calibri"/>
        <w:b/>
        <w:bCs/>
        <w:color w:val="000000"/>
        <w:lang w:val="en-IN" w:bidi="te-IN"/>
      </w:rPr>
      <w:fldChar w:fldCharType="end"/>
    </w:r>
  </w:p>
  <w:p w:rsidR="00953F34" w:rsidRDefault="00953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F60" w:rsidRDefault="006D4F60" w:rsidP="00032BAA">
      <w:r>
        <w:separator/>
      </w:r>
    </w:p>
  </w:footnote>
  <w:footnote w:type="continuationSeparator" w:id="0">
    <w:p w:rsidR="006D4F60" w:rsidRDefault="006D4F60" w:rsidP="00032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10" w:rsidRPr="00EA3B10" w:rsidRDefault="00EA3B10" w:rsidP="00EA3B10">
    <w:pPr>
      <w:autoSpaceDE w:val="0"/>
      <w:autoSpaceDN w:val="0"/>
      <w:adjustRightInd w:val="0"/>
      <w:rPr>
        <w:rFonts w:ascii="Calibri" w:eastAsiaTheme="minorHAnsi" w:hAnsi="Calibri" w:cs="Calibri"/>
        <w:color w:val="000000"/>
        <w:lang w:val="en-IN" w:bidi="te-IN"/>
      </w:rPr>
    </w:pPr>
  </w:p>
  <w:p w:rsidR="00EA3B10" w:rsidRDefault="00EA3B10" w:rsidP="00EA3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57EB"/>
    <w:multiLevelType w:val="hybridMultilevel"/>
    <w:tmpl w:val="4572B2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69228F"/>
    <w:multiLevelType w:val="hybridMultilevel"/>
    <w:tmpl w:val="BD7A89D4"/>
    <w:lvl w:ilvl="0" w:tplc="F83A654A">
      <w:start w:val="1"/>
      <w:numFmt w:val="upperLetter"/>
      <w:lvlText w:val="%1)"/>
      <w:lvlJc w:val="left"/>
      <w:pPr>
        <w:tabs>
          <w:tab w:val="num" w:pos="1080"/>
        </w:tabs>
        <w:ind w:left="1080" w:hanging="360"/>
      </w:pPr>
      <w:rPr>
        <w:rFonts w:hint="default"/>
      </w:rPr>
    </w:lvl>
    <w:lvl w:ilvl="1" w:tplc="07966B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958ED"/>
    <w:multiLevelType w:val="hybridMultilevel"/>
    <w:tmpl w:val="74D0E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4F314E"/>
    <w:multiLevelType w:val="multilevel"/>
    <w:tmpl w:val="97B6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54D2D"/>
    <w:multiLevelType w:val="multilevel"/>
    <w:tmpl w:val="1710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028BC"/>
    <w:multiLevelType w:val="hybridMultilevel"/>
    <w:tmpl w:val="03B6BF40"/>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04090019">
      <w:start w:val="1"/>
      <w:numFmt w:val="low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0F82267"/>
    <w:multiLevelType w:val="hybridMultilevel"/>
    <w:tmpl w:val="DF847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267EB"/>
    <w:multiLevelType w:val="multilevel"/>
    <w:tmpl w:val="D9D8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A20427"/>
    <w:multiLevelType w:val="multilevel"/>
    <w:tmpl w:val="DF28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A55EAF"/>
    <w:multiLevelType w:val="multilevel"/>
    <w:tmpl w:val="6BD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47C80"/>
    <w:multiLevelType w:val="hybridMultilevel"/>
    <w:tmpl w:val="02D4E948"/>
    <w:lvl w:ilvl="0" w:tplc="176E25E6">
      <w:start w:val="1"/>
      <w:numFmt w:val="lowerLetter"/>
      <w:lvlText w:val="%1)"/>
      <w:lvlJc w:val="left"/>
      <w:pPr>
        <w:ind w:left="1920" w:hanging="360"/>
        <w:jc w:val="left"/>
      </w:pPr>
      <w:rPr>
        <w:rFonts w:ascii="Times New Roman" w:eastAsia="Times New Roman" w:hAnsi="Times New Roman" w:cs="Times New Roman" w:hint="default"/>
        <w:spacing w:val="-1"/>
        <w:w w:val="100"/>
        <w:sz w:val="24"/>
        <w:szCs w:val="24"/>
        <w:lang w:val="en-US" w:eastAsia="en-US" w:bidi="ar-SA"/>
      </w:rPr>
    </w:lvl>
    <w:lvl w:ilvl="1" w:tplc="5A6410EC">
      <w:numFmt w:val="bullet"/>
      <w:lvlText w:val="•"/>
      <w:lvlJc w:val="left"/>
      <w:pPr>
        <w:ind w:left="2624" w:hanging="360"/>
      </w:pPr>
      <w:rPr>
        <w:rFonts w:hint="default"/>
        <w:lang w:val="en-US" w:eastAsia="en-US" w:bidi="ar-SA"/>
      </w:rPr>
    </w:lvl>
    <w:lvl w:ilvl="2" w:tplc="8C3EB5A6">
      <w:numFmt w:val="bullet"/>
      <w:lvlText w:val="•"/>
      <w:lvlJc w:val="left"/>
      <w:pPr>
        <w:ind w:left="3329" w:hanging="360"/>
      </w:pPr>
      <w:rPr>
        <w:rFonts w:hint="default"/>
        <w:lang w:val="en-US" w:eastAsia="en-US" w:bidi="ar-SA"/>
      </w:rPr>
    </w:lvl>
    <w:lvl w:ilvl="3" w:tplc="41D644E4">
      <w:numFmt w:val="bullet"/>
      <w:lvlText w:val="•"/>
      <w:lvlJc w:val="left"/>
      <w:pPr>
        <w:ind w:left="4033" w:hanging="360"/>
      </w:pPr>
      <w:rPr>
        <w:rFonts w:hint="default"/>
        <w:lang w:val="en-US" w:eastAsia="en-US" w:bidi="ar-SA"/>
      </w:rPr>
    </w:lvl>
    <w:lvl w:ilvl="4" w:tplc="426C9544">
      <w:numFmt w:val="bullet"/>
      <w:lvlText w:val="•"/>
      <w:lvlJc w:val="left"/>
      <w:pPr>
        <w:ind w:left="4738" w:hanging="360"/>
      </w:pPr>
      <w:rPr>
        <w:rFonts w:hint="default"/>
        <w:lang w:val="en-US" w:eastAsia="en-US" w:bidi="ar-SA"/>
      </w:rPr>
    </w:lvl>
    <w:lvl w:ilvl="5" w:tplc="D8A6015E">
      <w:numFmt w:val="bullet"/>
      <w:lvlText w:val="•"/>
      <w:lvlJc w:val="left"/>
      <w:pPr>
        <w:ind w:left="5443" w:hanging="360"/>
      </w:pPr>
      <w:rPr>
        <w:rFonts w:hint="default"/>
        <w:lang w:val="en-US" w:eastAsia="en-US" w:bidi="ar-SA"/>
      </w:rPr>
    </w:lvl>
    <w:lvl w:ilvl="6" w:tplc="C06EC430">
      <w:numFmt w:val="bullet"/>
      <w:lvlText w:val="•"/>
      <w:lvlJc w:val="left"/>
      <w:pPr>
        <w:ind w:left="6147" w:hanging="360"/>
      </w:pPr>
      <w:rPr>
        <w:rFonts w:hint="default"/>
        <w:lang w:val="en-US" w:eastAsia="en-US" w:bidi="ar-SA"/>
      </w:rPr>
    </w:lvl>
    <w:lvl w:ilvl="7" w:tplc="FA74B5C8">
      <w:numFmt w:val="bullet"/>
      <w:lvlText w:val="•"/>
      <w:lvlJc w:val="left"/>
      <w:pPr>
        <w:ind w:left="6852" w:hanging="360"/>
      </w:pPr>
      <w:rPr>
        <w:rFonts w:hint="default"/>
        <w:lang w:val="en-US" w:eastAsia="en-US" w:bidi="ar-SA"/>
      </w:rPr>
    </w:lvl>
    <w:lvl w:ilvl="8" w:tplc="36721968">
      <w:numFmt w:val="bullet"/>
      <w:lvlText w:val="•"/>
      <w:lvlJc w:val="left"/>
      <w:pPr>
        <w:ind w:left="7557" w:hanging="360"/>
      </w:pPr>
      <w:rPr>
        <w:rFonts w:hint="default"/>
        <w:lang w:val="en-US" w:eastAsia="en-US" w:bidi="ar-SA"/>
      </w:rPr>
    </w:lvl>
  </w:abstractNum>
  <w:abstractNum w:abstractNumId="11">
    <w:nsid w:val="29D93642"/>
    <w:multiLevelType w:val="singleLevel"/>
    <w:tmpl w:val="A33A6F7A"/>
    <w:lvl w:ilvl="0">
      <w:start w:val="1"/>
      <w:numFmt w:val="lowerLetter"/>
      <w:lvlText w:val="%1)"/>
      <w:lvlJc w:val="left"/>
      <w:pPr>
        <w:tabs>
          <w:tab w:val="num" w:pos="720"/>
        </w:tabs>
        <w:ind w:left="720" w:hanging="360"/>
      </w:pPr>
      <w:rPr>
        <w:rFonts w:hint="default"/>
        <w:b/>
      </w:rPr>
    </w:lvl>
  </w:abstractNum>
  <w:abstractNum w:abstractNumId="12">
    <w:nsid w:val="2E9E31CF"/>
    <w:multiLevelType w:val="hybridMultilevel"/>
    <w:tmpl w:val="5DF6F942"/>
    <w:lvl w:ilvl="0" w:tplc="2260369A">
      <w:start w:val="1"/>
      <w:numFmt w:val="upperLetter"/>
      <w:lvlText w:val="%1)"/>
      <w:lvlJc w:val="left"/>
      <w:pPr>
        <w:tabs>
          <w:tab w:val="num" w:pos="720"/>
        </w:tabs>
        <w:ind w:left="720" w:hanging="36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FE46F7"/>
    <w:multiLevelType w:val="hybridMultilevel"/>
    <w:tmpl w:val="A300B022"/>
    <w:lvl w:ilvl="0" w:tplc="9F224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34D4ECF"/>
    <w:multiLevelType w:val="multilevel"/>
    <w:tmpl w:val="6218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CB3C10"/>
    <w:multiLevelType w:val="multilevel"/>
    <w:tmpl w:val="BE4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EE3B9D"/>
    <w:multiLevelType w:val="singleLevel"/>
    <w:tmpl w:val="7E3A074E"/>
    <w:lvl w:ilvl="0">
      <w:start w:val="1"/>
      <w:numFmt w:val="lowerLetter"/>
      <w:lvlText w:val="%1)"/>
      <w:lvlJc w:val="left"/>
      <w:pPr>
        <w:tabs>
          <w:tab w:val="num" w:pos="720"/>
        </w:tabs>
        <w:ind w:left="720" w:hanging="360"/>
      </w:pPr>
      <w:rPr>
        <w:rFonts w:hint="default"/>
        <w:b/>
      </w:rPr>
    </w:lvl>
  </w:abstractNum>
  <w:abstractNum w:abstractNumId="17">
    <w:nsid w:val="38BD7BB8"/>
    <w:multiLevelType w:val="hybridMultilevel"/>
    <w:tmpl w:val="F8FA3174"/>
    <w:lvl w:ilvl="0" w:tplc="9B7C52F8">
      <w:start w:val="1"/>
      <w:numFmt w:val="decimal"/>
      <w:lvlText w:val="%1)"/>
      <w:lvlJc w:val="left"/>
      <w:pPr>
        <w:tabs>
          <w:tab w:val="num" w:pos="720"/>
        </w:tabs>
        <w:ind w:left="720" w:hanging="360"/>
      </w:pPr>
      <w:rPr>
        <w:rFonts w:hint="default"/>
        <w:b/>
      </w:rPr>
    </w:lvl>
    <w:lvl w:ilvl="1" w:tplc="CEAE70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302D0B"/>
    <w:multiLevelType w:val="multilevel"/>
    <w:tmpl w:val="E7BEE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90327F"/>
    <w:multiLevelType w:val="hybridMultilevel"/>
    <w:tmpl w:val="FC7021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D279FF"/>
    <w:multiLevelType w:val="multilevel"/>
    <w:tmpl w:val="1848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823F46"/>
    <w:multiLevelType w:val="multilevel"/>
    <w:tmpl w:val="4456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A42C5C"/>
    <w:multiLevelType w:val="multilevel"/>
    <w:tmpl w:val="1874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AE1583"/>
    <w:multiLevelType w:val="hybridMultilevel"/>
    <w:tmpl w:val="E862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E66B55"/>
    <w:multiLevelType w:val="multilevel"/>
    <w:tmpl w:val="EC5C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BE40F1"/>
    <w:multiLevelType w:val="hybridMultilevel"/>
    <w:tmpl w:val="5F7A2802"/>
    <w:lvl w:ilvl="0" w:tplc="F0A6B946">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5D92652"/>
    <w:multiLevelType w:val="hybridMultilevel"/>
    <w:tmpl w:val="7646BE02"/>
    <w:lvl w:ilvl="0" w:tplc="F920C31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01238"/>
    <w:multiLevelType w:val="multilevel"/>
    <w:tmpl w:val="3C80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1F78BE"/>
    <w:multiLevelType w:val="hybridMultilevel"/>
    <w:tmpl w:val="AAC6E25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B337D52"/>
    <w:multiLevelType w:val="multilevel"/>
    <w:tmpl w:val="E85C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FC0F35"/>
    <w:multiLevelType w:val="multilevel"/>
    <w:tmpl w:val="52B6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EE5F9F"/>
    <w:multiLevelType w:val="multilevel"/>
    <w:tmpl w:val="8E6E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284B00"/>
    <w:multiLevelType w:val="hybridMultilevel"/>
    <w:tmpl w:val="1AA4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543D14"/>
    <w:multiLevelType w:val="hybridMultilevel"/>
    <w:tmpl w:val="D4B84A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D1525A"/>
    <w:multiLevelType w:val="hybridMultilevel"/>
    <w:tmpl w:val="30F23460"/>
    <w:lvl w:ilvl="0" w:tplc="2EF60B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E3A710B"/>
    <w:multiLevelType w:val="hybridMultilevel"/>
    <w:tmpl w:val="ABE4D79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9226203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4A683F"/>
    <w:multiLevelType w:val="multilevel"/>
    <w:tmpl w:val="1A6A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187AB3"/>
    <w:multiLevelType w:val="hybridMultilevel"/>
    <w:tmpl w:val="E5707B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DB49EE"/>
    <w:multiLevelType w:val="hybridMultilevel"/>
    <w:tmpl w:val="BCE8BA9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A4480D4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2"/>
  </w:num>
  <w:num w:numId="4">
    <w:abstractNumId w:val="38"/>
  </w:num>
  <w:num w:numId="5">
    <w:abstractNumId w:val="34"/>
  </w:num>
  <w:num w:numId="6">
    <w:abstractNumId w:val="1"/>
  </w:num>
  <w:num w:numId="7">
    <w:abstractNumId w:val="25"/>
  </w:num>
  <w:num w:numId="8">
    <w:abstractNumId w:val="13"/>
  </w:num>
  <w:num w:numId="9">
    <w:abstractNumId w:val="11"/>
  </w:num>
  <w:num w:numId="10">
    <w:abstractNumId w:val="16"/>
  </w:num>
  <w:num w:numId="11">
    <w:abstractNumId w:val="19"/>
  </w:num>
  <w:num w:numId="12">
    <w:abstractNumId w:val="2"/>
  </w:num>
  <w:num w:numId="13">
    <w:abstractNumId w:val="0"/>
  </w:num>
  <w:num w:numId="14">
    <w:abstractNumId w:val="35"/>
  </w:num>
  <w:num w:numId="15">
    <w:abstractNumId w:val="5"/>
  </w:num>
  <w:num w:numId="16">
    <w:abstractNumId w:val="33"/>
  </w:num>
  <w:num w:numId="17">
    <w:abstractNumId w:val="37"/>
  </w:num>
  <w:num w:numId="18">
    <w:abstractNumId w:val="6"/>
  </w:num>
  <w:num w:numId="19">
    <w:abstractNumId w:val="7"/>
  </w:num>
  <w:num w:numId="20">
    <w:abstractNumId w:val="20"/>
  </w:num>
  <w:num w:numId="21">
    <w:abstractNumId w:val="29"/>
  </w:num>
  <w:num w:numId="22">
    <w:abstractNumId w:val="15"/>
  </w:num>
  <w:num w:numId="23">
    <w:abstractNumId w:val="24"/>
  </w:num>
  <w:num w:numId="24">
    <w:abstractNumId w:val="8"/>
  </w:num>
  <w:num w:numId="25">
    <w:abstractNumId w:val="21"/>
  </w:num>
  <w:num w:numId="26">
    <w:abstractNumId w:val="31"/>
  </w:num>
  <w:num w:numId="27">
    <w:abstractNumId w:val="36"/>
  </w:num>
  <w:num w:numId="28">
    <w:abstractNumId w:val="30"/>
  </w:num>
  <w:num w:numId="29">
    <w:abstractNumId w:val="9"/>
  </w:num>
  <w:num w:numId="30">
    <w:abstractNumId w:val="10"/>
  </w:num>
  <w:num w:numId="31">
    <w:abstractNumId w:val="27"/>
  </w:num>
  <w:num w:numId="32">
    <w:abstractNumId w:val="22"/>
  </w:num>
  <w:num w:numId="33">
    <w:abstractNumId w:val="3"/>
  </w:num>
  <w:num w:numId="34">
    <w:abstractNumId w:val="14"/>
  </w:num>
  <w:num w:numId="35">
    <w:abstractNumId w:val="18"/>
  </w:num>
  <w:num w:numId="36">
    <w:abstractNumId w:val="4"/>
  </w:num>
  <w:num w:numId="37">
    <w:abstractNumId w:val="32"/>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2FF1"/>
    <w:rsid w:val="00032BAA"/>
    <w:rsid w:val="000660B0"/>
    <w:rsid w:val="0008089A"/>
    <w:rsid w:val="000A7CE4"/>
    <w:rsid w:val="000C10D4"/>
    <w:rsid w:val="000D76A1"/>
    <w:rsid w:val="000F3000"/>
    <w:rsid w:val="00147CBD"/>
    <w:rsid w:val="001944E3"/>
    <w:rsid w:val="002052DF"/>
    <w:rsid w:val="002A6365"/>
    <w:rsid w:val="002F6281"/>
    <w:rsid w:val="003C07E7"/>
    <w:rsid w:val="003C12C1"/>
    <w:rsid w:val="003C3AE7"/>
    <w:rsid w:val="003E0C09"/>
    <w:rsid w:val="00432EC7"/>
    <w:rsid w:val="004B3C91"/>
    <w:rsid w:val="004E1069"/>
    <w:rsid w:val="004F65F3"/>
    <w:rsid w:val="005B1C6B"/>
    <w:rsid w:val="005E4E4F"/>
    <w:rsid w:val="00621B2C"/>
    <w:rsid w:val="0066080F"/>
    <w:rsid w:val="006761B4"/>
    <w:rsid w:val="006D4F60"/>
    <w:rsid w:val="007257FC"/>
    <w:rsid w:val="008B7D6D"/>
    <w:rsid w:val="00953F34"/>
    <w:rsid w:val="00A578A0"/>
    <w:rsid w:val="00AE50BB"/>
    <w:rsid w:val="00AF48E0"/>
    <w:rsid w:val="00B804CE"/>
    <w:rsid w:val="00C201FE"/>
    <w:rsid w:val="00C53D29"/>
    <w:rsid w:val="00C630E5"/>
    <w:rsid w:val="00CF4F89"/>
    <w:rsid w:val="00CF749F"/>
    <w:rsid w:val="00DB376D"/>
    <w:rsid w:val="00E574EF"/>
    <w:rsid w:val="00EA3B10"/>
    <w:rsid w:val="00EB2FF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4082FB-3512-437F-B5A2-FED32DD8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2FF1"/>
    <w:pPr>
      <w:keepNext/>
      <w:jc w:val="center"/>
      <w:outlineLvl w:val="0"/>
    </w:pPr>
    <w:rPr>
      <w:b/>
      <w:i/>
      <w:sz w:val="40"/>
      <w:u w:val="single"/>
    </w:rPr>
  </w:style>
  <w:style w:type="paragraph" w:styleId="Heading2">
    <w:name w:val="heading 2"/>
    <w:basedOn w:val="Normal"/>
    <w:next w:val="Normal"/>
    <w:link w:val="Heading2Char"/>
    <w:uiPriority w:val="9"/>
    <w:qFormat/>
    <w:rsid w:val="00EB2FF1"/>
    <w:pPr>
      <w:keepNext/>
      <w:ind w:left="360"/>
      <w:jc w:val="center"/>
      <w:outlineLvl w:val="1"/>
    </w:pPr>
    <w:rPr>
      <w:b/>
      <w:i/>
      <w:sz w:val="40"/>
      <w:u w:val="single"/>
    </w:rPr>
  </w:style>
  <w:style w:type="paragraph" w:styleId="Heading3">
    <w:name w:val="heading 3"/>
    <w:basedOn w:val="Normal"/>
    <w:next w:val="Normal"/>
    <w:link w:val="Heading3Char"/>
    <w:uiPriority w:val="9"/>
    <w:qFormat/>
    <w:rsid w:val="00EB2FF1"/>
    <w:pPr>
      <w:keepNext/>
      <w:jc w:val="center"/>
      <w:outlineLvl w:val="2"/>
    </w:pPr>
    <w:rPr>
      <w:b/>
      <w:sz w:val="40"/>
      <w:u w:val="single"/>
    </w:rPr>
  </w:style>
  <w:style w:type="paragraph" w:styleId="Heading4">
    <w:name w:val="heading 4"/>
    <w:basedOn w:val="Normal"/>
    <w:next w:val="Normal"/>
    <w:link w:val="Heading4Char"/>
    <w:uiPriority w:val="9"/>
    <w:qFormat/>
    <w:rsid w:val="00EB2FF1"/>
    <w:pPr>
      <w:keepNext/>
      <w:jc w:val="both"/>
      <w:outlineLvl w:val="3"/>
    </w:pPr>
    <w:rPr>
      <w:b/>
      <w:bCs/>
    </w:rPr>
  </w:style>
  <w:style w:type="paragraph" w:styleId="Heading5">
    <w:name w:val="heading 5"/>
    <w:basedOn w:val="Normal"/>
    <w:next w:val="Normal"/>
    <w:link w:val="Heading5Char"/>
    <w:unhideWhenUsed/>
    <w:qFormat/>
    <w:rsid w:val="00EB2FF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EB2FF1"/>
    <w:pPr>
      <w:keepNext/>
      <w:ind w:left="810"/>
      <w:jc w:val="both"/>
      <w:outlineLvl w:val="5"/>
    </w:pPr>
    <w:rPr>
      <w:color w:val="000000"/>
      <w:sz w:val="28"/>
      <w:szCs w:val="20"/>
    </w:rPr>
  </w:style>
  <w:style w:type="paragraph" w:styleId="Heading7">
    <w:name w:val="heading 7"/>
    <w:basedOn w:val="Normal"/>
    <w:next w:val="Normal"/>
    <w:link w:val="Heading7Char"/>
    <w:uiPriority w:val="99"/>
    <w:unhideWhenUsed/>
    <w:qFormat/>
    <w:rsid w:val="00EB2FF1"/>
    <w:pPr>
      <w:keepNext/>
      <w:keepLines/>
      <w:spacing w:before="200" w:line="276" w:lineRule="auto"/>
      <w:outlineLvl w:val="6"/>
    </w:pPr>
    <w:rPr>
      <w:rFonts w:ascii="Cambria" w:hAnsi="Cambria"/>
      <w:i/>
      <w:iCs/>
      <w:color w:val="404040"/>
      <w:sz w:val="22"/>
      <w:szCs w:val="22"/>
    </w:rPr>
  </w:style>
  <w:style w:type="paragraph" w:styleId="Heading8">
    <w:name w:val="heading 8"/>
    <w:basedOn w:val="Normal"/>
    <w:next w:val="Normal"/>
    <w:link w:val="Heading8Char"/>
    <w:uiPriority w:val="99"/>
    <w:qFormat/>
    <w:rsid w:val="00EB2FF1"/>
    <w:pPr>
      <w:spacing w:before="240" w:after="60"/>
      <w:outlineLvl w:val="7"/>
    </w:pPr>
    <w:rPr>
      <w:i/>
      <w:iCs/>
    </w:rPr>
  </w:style>
  <w:style w:type="paragraph" w:styleId="Heading9">
    <w:name w:val="heading 9"/>
    <w:basedOn w:val="Normal"/>
    <w:next w:val="Normal"/>
    <w:link w:val="Heading9Char"/>
    <w:uiPriority w:val="99"/>
    <w:qFormat/>
    <w:rsid w:val="00EB2FF1"/>
    <w:pPr>
      <w:keepNext/>
      <w:jc w:val="both"/>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FF1"/>
    <w:rPr>
      <w:rFonts w:ascii="Times New Roman" w:eastAsia="Times New Roman" w:hAnsi="Times New Roman" w:cs="Times New Roman"/>
      <w:b/>
      <w:i/>
      <w:sz w:val="40"/>
      <w:szCs w:val="24"/>
      <w:u w:val="single"/>
    </w:rPr>
  </w:style>
  <w:style w:type="character" w:customStyle="1" w:styleId="Heading2Char">
    <w:name w:val="Heading 2 Char"/>
    <w:basedOn w:val="DefaultParagraphFont"/>
    <w:link w:val="Heading2"/>
    <w:uiPriority w:val="9"/>
    <w:rsid w:val="00EB2FF1"/>
    <w:rPr>
      <w:rFonts w:ascii="Times New Roman" w:eastAsia="Times New Roman" w:hAnsi="Times New Roman" w:cs="Times New Roman"/>
      <w:b/>
      <w:i/>
      <w:sz w:val="40"/>
      <w:szCs w:val="24"/>
      <w:u w:val="single"/>
    </w:rPr>
  </w:style>
  <w:style w:type="character" w:customStyle="1" w:styleId="Heading3Char">
    <w:name w:val="Heading 3 Char"/>
    <w:basedOn w:val="DefaultParagraphFont"/>
    <w:link w:val="Heading3"/>
    <w:uiPriority w:val="9"/>
    <w:rsid w:val="00EB2FF1"/>
    <w:rPr>
      <w:rFonts w:ascii="Times New Roman" w:eastAsia="Times New Roman" w:hAnsi="Times New Roman" w:cs="Times New Roman"/>
      <w:b/>
      <w:sz w:val="40"/>
      <w:szCs w:val="24"/>
      <w:u w:val="single"/>
    </w:rPr>
  </w:style>
  <w:style w:type="character" w:customStyle="1" w:styleId="Heading4Char">
    <w:name w:val="Heading 4 Char"/>
    <w:basedOn w:val="DefaultParagraphFont"/>
    <w:link w:val="Heading4"/>
    <w:uiPriority w:val="9"/>
    <w:rsid w:val="00EB2FF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B2FF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EB2FF1"/>
    <w:rPr>
      <w:rFonts w:ascii="Times New Roman" w:eastAsia="Times New Roman" w:hAnsi="Times New Roman" w:cs="Times New Roman"/>
      <w:color w:val="000000"/>
      <w:sz w:val="28"/>
      <w:szCs w:val="20"/>
    </w:rPr>
  </w:style>
  <w:style w:type="character" w:customStyle="1" w:styleId="Heading7Char">
    <w:name w:val="Heading 7 Char"/>
    <w:basedOn w:val="DefaultParagraphFont"/>
    <w:link w:val="Heading7"/>
    <w:uiPriority w:val="99"/>
    <w:rsid w:val="00EB2FF1"/>
    <w:rPr>
      <w:rFonts w:ascii="Cambria" w:eastAsia="Times New Roman" w:hAnsi="Cambria" w:cs="Times New Roman"/>
      <w:i/>
      <w:iCs/>
      <w:color w:val="404040"/>
    </w:rPr>
  </w:style>
  <w:style w:type="character" w:customStyle="1" w:styleId="Heading8Char">
    <w:name w:val="Heading 8 Char"/>
    <w:basedOn w:val="DefaultParagraphFont"/>
    <w:link w:val="Heading8"/>
    <w:uiPriority w:val="99"/>
    <w:rsid w:val="00EB2FF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EB2FF1"/>
    <w:rPr>
      <w:rFonts w:ascii="Times New Roman" w:eastAsia="Times New Roman" w:hAnsi="Times New Roman" w:cs="Times New Roman"/>
      <w:b/>
      <w:bCs/>
      <w:sz w:val="20"/>
      <w:szCs w:val="20"/>
    </w:rPr>
  </w:style>
  <w:style w:type="paragraph" w:styleId="BodyTextIndent">
    <w:name w:val="Body Text Indent"/>
    <w:basedOn w:val="Normal"/>
    <w:link w:val="BodyTextIndentChar"/>
    <w:rsid w:val="00EB2FF1"/>
    <w:pPr>
      <w:ind w:left="1080"/>
      <w:jc w:val="center"/>
    </w:pPr>
    <w:rPr>
      <w:b/>
      <w:sz w:val="32"/>
      <w:u w:val="single"/>
    </w:rPr>
  </w:style>
  <w:style w:type="character" w:customStyle="1" w:styleId="BodyTextIndentChar">
    <w:name w:val="Body Text Indent Char"/>
    <w:basedOn w:val="DefaultParagraphFont"/>
    <w:link w:val="BodyTextIndent"/>
    <w:rsid w:val="00EB2FF1"/>
    <w:rPr>
      <w:rFonts w:ascii="Times New Roman" w:eastAsia="Times New Roman" w:hAnsi="Times New Roman" w:cs="Times New Roman"/>
      <w:b/>
      <w:sz w:val="32"/>
      <w:szCs w:val="24"/>
      <w:u w:val="single"/>
    </w:rPr>
  </w:style>
  <w:style w:type="paragraph" w:styleId="BodyTextIndent2">
    <w:name w:val="Body Text Indent 2"/>
    <w:basedOn w:val="Normal"/>
    <w:link w:val="BodyTextIndent2Char"/>
    <w:rsid w:val="00EB2FF1"/>
    <w:pPr>
      <w:ind w:firstLine="360"/>
    </w:pPr>
  </w:style>
  <w:style w:type="character" w:customStyle="1" w:styleId="BodyTextIndent2Char">
    <w:name w:val="Body Text Indent 2 Char"/>
    <w:basedOn w:val="DefaultParagraphFont"/>
    <w:link w:val="BodyTextIndent2"/>
    <w:rsid w:val="00EB2FF1"/>
    <w:rPr>
      <w:rFonts w:ascii="Times New Roman" w:eastAsia="Times New Roman" w:hAnsi="Times New Roman" w:cs="Times New Roman"/>
      <w:sz w:val="24"/>
      <w:szCs w:val="24"/>
    </w:rPr>
  </w:style>
  <w:style w:type="table" w:styleId="TableGrid">
    <w:name w:val="Table Grid"/>
    <w:basedOn w:val="TableNormal"/>
    <w:uiPriority w:val="59"/>
    <w:rsid w:val="00EB2F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 Char"/>
    <w:basedOn w:val="Normal"/>
    <w:link w:val="TitleChar"/>
    <w:uiPriority w:val="1"/>
    <w:qFormat/>
    <w:rsid w:val="00EB2FF1"/>
    <w:pPr>
      <w:spacing w:before="240" w:after="60"/>
      <w:jc w:val="center"/>
      <w:outlineLvl w:val="0"/>
    </w:pPr>
    <w:rPr>
      <w:rFonts w:ascii="Arial" w:hAnsi="Arial" w:cs="Arial"/>
      <w:b/>
      <w:bCs/>
      <w:kern w:val="28"/>
      <w:sz w:val="32"/>
      <w:szCs w:val="32"/>
    </w:rPr>
  </w:style>
  <w:style w:type="character" w:customStyle="1" w:styleId="TitleChar">
    <w:name w:val="Title Char"/>
    <w:aliases w:val=" Char Char"/>
    <w:basedOn w:val="DefaultParagraphFont"/>
    <w:link w:val="Title"/>
    <w:rsid w:val="00EB2FF1"/>
    <w:rPr>
      <w:rFonts w:ascii="Arial" w:eastAsia="Times New Roman" w:hAnsi="Arial" w:cs="Arial"/>
      <w:b/>
      <w:bCs/>
      <w:kern w:val="28"/>
      <w:sz w:val="32"/>
      <w:szCs w:val="32"/>
    </w:rPr>
  </w:style>
  <w:style w:type="paragraph" w:styleId="NormalWeb">
    <w:name w:val="Normal (Web)"/>
    <w:basedOn w:val="Normal"/>
    <w:link w:val="NormalWebChar"/>
    <w:rsid w:val="00EB2FF1"/>
    <w:pPr>
      <w:spacing w:before="100" w:beforeAutospacing="1" w:after="100" w:afterAutospacing="1"/>
    </w:pPr>
  </w:style>
  <w:style w:type="character" w:styleId="Hyperlink">
    <w:name w:val="Hyperlink"/>
    <w:basedOn w:val="DefaultParagraphFont"/>
    <w:uiPriority w:val="99"/>
    <w:rsid w:val="00EB2FF1"/>
    <w:rPr>
      <w:color w:val="0000FF"/>
      <w:u w:val="single"/>
    </w:rPr>
  </w:style>
  <w:style w:type="paragraph" w:styleId="Caption">
    <w:name w:val="caption"/>
    <w:basedOn w:val="Normal"/>
    <w:next w:val="Normal"/>
    <w:uiPriority w:val="99"/>
    <w:qFormat/>
    <w:rsid w:val="00EB2FF1"/>
    <w:rPr>
      <w:b/>
      <w:bCs/>
      <w:sz w:val="20"/>
      <w:szCs w:val="20"/>
    </w:rPr>
  </w:style>
  <w:style w:type="paragraph" w:styleId="BodyText">
    <w:name w:val="Body Text"/>
    <w:basedOn w:val="Normal"/>
    <w:link w:val="BodyTextChar"/>
    <w:uiPriority w:val="1"/>
    <w:qFormat/>
    <w:rsid w:val="00EB2FF1"/>
    <w:pPr>
      <w:spacing w:after="120"/>
    </w:pPr>
  </w:style>
  <w:style w:type="character" w:customStyle="1" w:styleId="BodyTextChar">
    <w:name w:val="Body Text Char"/>
    <w:basedOn w:val="DefaultParagraphFont"/>
    <w:link w:val="BodyText"/>
    <w:rsid w:val="00EB2FF1"/>
    <w:rPr>
      <w:rFonts w:ascii="Times New Roman" w:eastAsia="Times New Roman" w:hAnsi="Times New Roman" w:cs="Times New Roman"/>
      <w:sz w:val="24"/>
      <w:szCs w:val="24"/>
    </w:rPr>
  </w:style>
  <w:style w:type="character" w:styleId="Strong">
    <w:name w:val="Strong"/>
    <w:basedOn w:val="DefaultParagraphFont"/>
    <w:uiPriority w:val="22"/>
    <w:qFormat/>
    <w:rsid w:val="00EB2FF1"/>
    <w:rPr>
      <w:b/>
      <w:bCs/>
    </w:rPr>
  </w:style>
  <w:style w:type="paragraph" w:styleId="Footer">
    <w:name w:val="footer"/>
    <w:aliases w:val=" Char1"/>
    <w:basedOn w:val="Normal"/>
    <w:link w:val="FooterChar"/>
    <w:uiPriority w:val="99"/>
    <w:rsid w:val="00EB2FF1"/>
    <w:pPr>
      <w:tabs>
        <w:tab w:val="center" w:pos="4320"/>
        <w:tab w:val="right" w:pos="8640"/>
      </w:tabs>
    </w:pPr>
  </w:style>
  <w:style w:type="character" w:customStyle="1" w:styleId="FooterChar">
    <w:name w:val="Footer Char"/>
    <w:aliases w:val=" Char1 Char"/>
    <w:basedOn w:val="DefaultParagraphFont"/>
    <w:link w:val="Footer"/>
    <w:uiPriority w:val="99"/>
    <w:rsid w:val="00EB2FF1"/>
    <w:rPr>
      <w:rFonts w:ascii="Times New Roman" w:eastAsia="Times New Roman" w:hAnsi="Times New Roman" w:cs="Times New Roman"/>
      <w:sz w:val="24"/>
      <w:szCs w:val="24"/>
    </w:rPr>
  </w:style>
  <w:style w:type="character" w:styleId="PageNumber">
    <w:name w:val="page number"/>
    <w:basedOn w:val="DefaultParagraphFont"/>
    <w:rsid w:val="00EB2FF1"/>
  </w:style>
  <w:style w:type="character" w:styleId="Emphasis">
    <w:name w:val="Emphasis"/>
    <w:basedOn w:val="DefaultParagraphFont"/>
    <w:qFormat/>
    <w:rsid w:val="00EB2FF1"/>
    <w:rPr>
      <w:i/>
      <w:iCs/>
    </w:rPr>
  </w:style>
  <w:style w:type="paragraph" w:styleId="Header">
    <w:name w:val="header"/>
    <w:basedOn w:val="Normal"/>
    <w:link w:val="HeaderChar"/>
    <w:unhideWhenUsed/>
    <w:rsid w:val="00EB2FF1"/>
    <w:pPr>
      <w:tabs>
        <w:tab w:val="center" w:pos="4680"/>
        <w:tab w:val="right" w:pos="9360"/>
      </w:tabs>
    </w:pPr>
  </w:style>
  <w:style w:type="character" w:customStyle="1" w:styleId="HeaderChar">
    <w:name w:val="Header Char"/>
    <w:basedOn w:val="DefaultParagraphFont"/>
    <w:link w:val="Header"/>
    <w:rsid w:val="00EB2FF1"/>
    <w:rPr>
      <w:rFonts w:ascii="Times New Roman" w:eastAsia="Times New Roman" w:hAnsi="Times New Roman" w:cs="Times New Roman"/>
      <w:sz w:val="24"/>
      <w:szCs w:val="24"/>
    </w:rPr>
  </w:style>
  <w:style w:type="character" w:customStyle="1" w:styleId="leolab1">
    <w:name w:val="leolab1"/>
    <w:basedOn w:val="DefaultParagraphFont"/>
    <w:uiPriority w:val="99"/>
    <w:rsid w:val="00EB2FF1"/>
    <w:rPr>
      <w:rFonts w:ascii="Verdana" w:hAnsi="Verdana" w:cs="Verdana"/>
      <w:b/>
      <w:bCs/>
      <w:color w:val="003300"/>
      <w:sz w:val="15"/>
      <w:szCs w:val="15"/>
    </w:rPr>
  </w:style>
  <w:style w:type="character" w:customStyle="1" w:styleId="org-bold">
    <w:name w:val="org-bold"/>
    <w:basedOn w:val="DefaultParagraphFont"/>
    <w:rsid w:val="00EB2FF1"/>
    <w:rPr>
      <w:rFonts w:cs="Times New Roman"/>
    </w:rPr>
  </w:style>
  <w:style w:type="paragraph" w:styleId="BalloonText">
    <w:name w:val="Balloon Text"/>
    <w:basedOn w:val="Normal"/>
    <w:link w:val="BalloonTextChar"/>
    <w:uiPriority w:val="99"/>
    <w:semiHidden/>
    <w:unhideWhenUsed/>
    <w:rsid w:val="00EB2FF1"/>
    <w:rPr>
      <w:rFonts w:ascii="Tahoma" w:hAnsi="Tahoma" w:cs="Tahoma"/>
      <w:sz w:val="16"/>
      <w:szCs w:val="16"/>
    </w:rPr>
  </w:style>
  <w:style w:type="character" w:customStyle="1" w:styleId="BalloonTextChar">
    <w:name w:val="Balloon Text Char"/>
    <w:basedOn w:val="DefaultParagraphFont"/>
    <w:link w:val="BalloonText"/>
    <w:uiPriority w:val="99"/>
    <w:semiHidden/>
    <w:rsid w:val="00EB2FF1"/>
    <w:rPr>
      <w:rFonts w:ascii="Tahoma" w:eastAsia="Times New Roman" w:hAnsi="Tahoma" w:cs="Tahoma"/>
      <w:sz w:val="16"/>
      <w:szCs w:val="16"/>
    </w:rPr>
  </w:style>
  <w:style w:type="paragraph" w:customStyle="1" w:styleId="heading">
    <w:name w:val="heading"/>
    <w:basedOn w:val="Normal"/>
    <w:rsid w:val="00EB2FF1"/>
    <w:pPr>
      <w:spacing w:before="100" w:beforeAutospacing="1" w:after="100" w:afterAutospacing="1"/>
    </w:pPr>
  </w:style>
  <w:style w:type="character" w:customStyle="1" w:styleId="heading10">
    <w:name w:val="heading1"/>
    <w:basedOn w:val="DefaultParagraphFont"/>
    <w:uiPriority w:val="99"/>
    <w:rsid w:val="00EB2FF1"/>
    <w:rPr>
      <w:b/>
      <w:bCs/>
      <w:color w:val="990000"/>
    </w:rPr>
  </w:style>
  <w:style w:type="character" w:customStyle="1" w:styleId="italic1">
    <w:name w:val="italic1"/>
    <w:basedOn w:val="DefaultParagraphFont"/>
    <w:rsid w:val="00EB2FF1"/>
    <w:rPr>
      <w:b/>
      <w:bCs/>
      <w:i/>
      <w:iCs/>
      <w:color w:val="3366CC"/>
    </w:rPr>
  </w:style>
  <w:style w:type="character" w:customStyle="1" w:styleId="subheading1">
    <w:name w:val="subheading1"/>
    <w:basedOn w:val="DefaultParagraphFont"/>
    <w:rsid w:val="00EB2FF1"/>
    <w:rPr>
      <w:rFonts w:ascii="Verdana" w:hAnsi="Verdana" w:hint="default"/>
      <w:b/>
      <w:bCs/>
      <w:color w:val="000080"/>
      <w:sz w:val="18"/>
      <w:szCs w:val="18"/>
    </w:rPr>
  </w:style>
  <w:style w:type="paragraph" w:customStyle="1" w:styleId="body">
    <w:name w:val="body"/>
    <w:basedOn w:val="Normal"/>
    <w:rsid w:val="00EB2FF1"/>
    <w:pPr>
      <w:spacing w:before="100" w:beforeAutospacing="1" w:after="100" w:afterAutospacing="1"/>
    </w:pPr>
  </w:style>
  <w:style w:type="paragraph" w:customStyle="1" w:styleId="mysubheading">
    <w:name w:val="mysub_heading"/>
    <w:basedOn w:val="Normal"/>
    <w:rsid w:val="00EB2FF1"/>
    <w:pPr>
      <w:spacing w:before="100" w:beforeAutospacing="1" w:after="100" w:afterAutospacing="1"/>
    </w:pPr>
  </w:style>
  <w:style w:type="character" w:customStyle="1" w:styleId="body1">
    <w:name w:val="body1"/>
    <w:basedOn w:val="DefaultParagraphFont"/>
    <w:rsid w:val="00EB2FF1"/>
  </w:style>
  <w:style w:type="paragraph" w:styleId="ListParagraph">
    <w:name w:val="List Paragraph"/>
    <w:basedOn w:val="Normal"/>
    <w:uiPriority w:val="1"/>
    <w:qFormat/>
    <w:rsid w:val="00EB2FF1"/>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EB2FF1"/>
  </w:style>
  <w:style w:type="paragraph" w:styleId="BodyTextIndent3">
    <w:name w:val="Body Text Indent 3"/>
    <w:basedOn w:val="Normal"/>
    <w:link w:val="BodyTextIndent3Char"/>
    <w:unhideWhenUsed/>
    <w:rsid w:val="00EB2FF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rsid w:val="00EB2FF1"/>
    <w:rPr>
      <w:rFonts w:ascii="Calibri" w:eastAsia="Times New Roman" w:hAnsi="Calibri" w:cs="Times New Roman"/>
      <w:sz w:val="16"/>
      <w:szCs w:val="16"/>
    </w:rPr>
  </w:style>
  <w:style w:type="character" w:customStyle="1" w:styleId="maincontent1">
    <w:name w:val="maincontent1"/>
    <w:basedOn w:val="DefaultParagraphFont"/>
    <w:rsid w:val="00EB2FF1"/>
  </w:style>
  <w:style w:type="character" w:customStyle="1" w:styleId="toplinks2">
    <w:name w:val="toplinks2"/>
    <w:basedOn w:val="DefaultParagraphFont"/>
    <w:rsid w:val="00EB2FF1"/>
  </w:style>
  <w:style w:type="paragraph" w:styleId="BodyText3">
    <w:name w:val="Body Text 3"/>
    <w:basedOn w:val="Normal"/>
    <w:link w:val="BodyText3Char"/>
    <w:unhideWhenUsed/>
    <w:rsid w:val="00EB2FF1"/>
    <w:pPr>
      <w:spacing w:after="120" w:line="276" w:lineRule="auto"/>
    </w:pPr>
    <w:rPr>
      <w:rFonts w:ascii="Calibri" w:hAnsi="Calibri"/>
      <w:sz w:val="16"/>
      <w:szCs w:val="16"/>
    </w:rPr>
  </w:style>
  <w:style w:type="character" w:customStyle="1" w:styleId="BodyText3Char">
    <w:name w:val="Body Text 3 Char"/>
    <w:basedOn w:val="DefaultParagraphFont"/>
    <w:link w:val="BodyText3"/>
    <w:rsid w:val="00EB2FF1"/>
    <w:rPr>
      <w:rFonts w:ascii="Calibri" w:eastAsia="Times New Roman" w:hAnsi="Calibri" w:cs="Times New Roman"/>
      <w:sz w:val="16"/>
      <w:szCs w:val="16"/>
    </w:rPr>
  </w:style>
  <w:style w:type="paragraph" w:styleId="BodyText2">
    <w:name w:val="Body Text 2"/>
    <w:basedOn w:val="Normal"/>
    <w:link w:val="BodyText2Char"/>
    <w:rsid w:val="00EB2FF1"/>
    <w:pPr>
      <w:spacing w:after="120" w:line="480" w:lineRule="auto"/>
    </w:pPr>
  </w:style>
  <w:style w:type="character" w:customStyle="1" w:styleId="BodyText2Char">
    <w:name w:val="Body Text 2 Char"/>
    <w:basedOn w:val="DefaultParagraphFont"/>
    <w:link w:val="BodyText2"/>
    <w:rsid w:val="00EB2FF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EB2FF1"/>
  </w:style>
  <w:style w:type="paragraph" w:styleId="BlockText">
    <w:name w:val="Block Text"/>
    <w:basedOn w:val="Normal"/>
    <w:uiPriority w:val="99"/>
    <w:rsid w:val="00EB2FF1"/>
    <w:pPr>
      <w:ind w:left="360" w:right="360" w:hanging="360"/>
      <w:jc w:val="both"/>
    </w:pPr>
  </w:style>
  <w:style w:type="character" w:styleId="FollowedHyperlink">
    <w:name w:val="FollowedHyperlink"/>
    <w:basedOn w:val="DefaultParagraphFont"/>
    <w:uiPriority w:val="99"/>
    <w:rsid w:val="00EB2FF1"/>
    <w:rPr>
      <w:rFonts w:cs="Times New Roman"/>
      <w:color w:val="800080"/>
      <w:u w:val="single"/>
    </w:rPr>
  </w:style>
  <w:style w:type="paragraph" w:styleId="Subtitle">
    <w:name w:val="Subtitle"/>
    <w:basedOn w:val="Normal"/>
    <w:link w:val="SubtitleChar"/>
    <w:qFormat/>
    <w:rsid w:val="00EB2FF1"/>
    <w:pPr>
      <w:spacing w:after="200" w:line="276" w:lineRule="auto"/>
      <w:jc w:val="center"/>
    </w:pPr>
    <w:rPr>
      <w:rFonts w:ascii="Calibri" w:hAnsi="Calibri" w:cs="Calibri"/>
      <w:b/>
      <w:bCs/>
      <w:sz w:val="28"/>
      <w:szCs w:val="28"/>
    </w:rPr>
  </w:style>
  <w:style w:type="character" w:customStyle="1" w:styleId="SubtitleChar">
    <w:name w:val="Subtitle Char"/>
    <w:basedOn w:val="DefaultParagraphFont"/>
    <w:link w:val="Subtitle"/>
    <w:rsid w:val="00EB2FF1"/>
    <w:rPr>
      <w:rFonts w:ascii="Calibri" w:eastAsia="Times New Roman" w:hAnsi="Calibri" w:cs="Calibri"/>
      <w:b/>
      <w:bCs/>
      <w:sz w:val="28"/>
      <w:szCs w:val="28"/>
    </w:rPr>
  </w:style>
  <w:style w:type="paragraph" w:customStyle="1" w:styleId="xl63">
    <w:name w:val="xl63"/>
    <w:basedOn w:val="Normal"/>
    <w:uiPriority w:val="99"/>
    <w:rsid w:val="00EB2FF1"/>
    <w:pPr>
      <w:spacing w:before="100" w:beforeAutospacing="1" w:after="100" w:afterAutospacing="1"/>
    </w:pPr>
    <w:rPr>
      <w:rFonts w:ascii="Arial" w:hAnsi="Arial" w:cs="Arial"/>
      <w:b/>
      <w:bCs/>
    </w:rPr>
  </w:style>
  <w:style w:type="paragraph" w:customStyle="1" w:styleId="xl64">
    <w:name w:val="xl64"/>
    <w:basedOn w:val="Normal"/>
    <w:uiPriority w:val="99"/>
    <w:rsid w:val="00EB2FF1"/>
    <w:pPr>
      <w:spacing w:before="100" w:beforeAutospacing="1" w:after="100" w:afterAutospacing="1"/>
    </w:pPr>
    <w:rPr>
      <w:rFonts w:ascii="Arial" w:hAnsi="Arial" w:cs="Arial"/>
    </w:rPr>
  </w:style>
  <w:style w:type="paragraph" w:customStyle="1" w:styleId="xl65">
    <w:name w:val="xl65"/>
    <w:basedOn w:val="Normal"/>
    <w:uiPriority w:val="99"/>
    <w:rsid w:val="00EB2FF1"/>
    <w:pPr>
      <w:spacing w:before="100" w:beforeAutospacing="1" w:after="100" w:afterAutospacing="1"/>
    </w:pPr>
    <w:rPr>
      <w:rFonts w:ascii="Arial" w:hAnsi="Arial" w:cs="Arial"/>
      <w:b/>
      <w:bCs/>
      <w:u w:val="single"/>
    </w:rPr>
  </w:style>
  <w:style w:type="table" w:customStyle="1" w:styleId="TableGrid1">
    <w:name w:val="Table Grid1"/>
    <w:basedOn w:val="TableNormal"/>
    <w:next w:val="TableGrid"/>
    <w:uiPriority w:val="59"/>
    <w:rsid w:val="00EB2F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basedOn w:val="DefaultParagraphFont"/>
    <w:uiPriority w:val="99"/>
    <w:rsid w:val="00EB2FF1"/>
    <w:rPr>
      <w:rFonts w:ascii="Verdana" w:hAnsi="Verdana" w:cs="Verdana"/>
      <w:color w:val="000000"/>
      <w:sz w:val="15"/>
      <w:szCs w:val="15"/>
    </w:rPr>
  </w:style>
  <w:style w:type="character" w:customStyle="1" w:styleId="innerheadings1">
    <w:name w:val="innerheadings1"/>
    <w:basedOn w:val="DefaultParagraphFont"/>
    <w:uiPriority w:val="99"/>
    <w:rsid w:val="00EB2FF1"/>
    <w:rPr>
      <w:rFonts w:ascii="Verdana" w:hAnsi="Verdana" w:cs="Verdana"/>
      <w:color w:val="000000"/>
      <w:sz w:val="18"/>
      <w:szCs w:val="18"/>
    </w:rPr>
  </w:style>
  <w:style w:type="character" w:customStyle="1" w:styleId="mw-headline">
    <w:name w:val="mw-headline"/>
    <w:basedOn w:val="DefaultParagraphFont"/>
    <w:rsid w:val="00EB2FF1"/>
  </w:style>
  <w:style w:type="character" w:customStyle="1" w:styleId="editsection">
    <w:name w:val="editsection"/>
    <w:basedOn w:val="DefaultParagraphFont"/>
    <w:rsid w:val="00EB2FF1"/>
  </w:style>
  <w:style w:type="table" w:styleId="Table3Deffects1">
    <w:name w:val="Table 3D effects 1"/>
    <w:basedOn w:val="TableNormal"/>
    <w:rsid w:val="00EB2FF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EB2FF1"/>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ocnumber">
    <w:name w:val="tocnumber"/>
    <w:basedOn w:val="DefaultParagraphFont"/>
    <w:rsid w:val="00EB2FF1"/>
  </w:style>
  <w:style w:type="table" w:customStyle="1" w:styleId="TableGrid11">
    <w:name w:val="Table Grid11"/>
    <w:basedOn w:val="TableNormal"/>
    <w:next w:val="TableGrid"/>
    <w:rsid w:val="00EB2FF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B2FF1"/>
  </w:style>
  <w:style w:type="character" w:customStyle="1" w:styleId="toctext">
    <w:name w:val="toctext"/>
    <w:basedOn w:val="DefaultParagraphFont"/>
    <w:rsid w:val="00EB2FF1"/>
  </w:style>
  <w:style w:type="character" w:customStyle="1" w:styleId="mbox-text-span">
    <w:name w:val="mbox-text-span"/>
    <w:basedOn w:val="DefaultParagraphFont"/>
    <w:rsid w:val="00EB2FF1"/>
  </w:style>
  <w:style w:type="character" w:customStyle="1" w:styleId="hide-when-compact">
    <w:name w:val="hide-when-compact"/>
    <w:basedOn w:val="DefaultParagraphFont"/>
    <w:rsid w:val="00EB2FF1"/>
  </w:style>
  <w:style w:type="paragraph" w:customStyle="1" w:styleId="Default">
    <w:name w:val="Default"/>
    <w:rsid w:val="00EB2FF1"/>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WebChar">
    <w:name w:val="Normal (Web) Char"/>
    <w:basedOn w:val="DefaultParagraphFont"/>
    <w:link w:val="NormalWeb"/>
    <w:rsid w:val="00EB2FF1"/>
    <w:rPr>
      <w:rFonts w:ascii="Times New Roman" w:eastAsia="Times New Roman" w:hAnsi="Times New Roman" w:cs="Times New Roman"/>
      <w:sz w:val="24"/>
      <w:szCs w:val="24"/>
    </w:rPr>
  </w:style>
  <w:style w:type="character" w:customStyle="1" w:styleId="apple-style-span">
    <w:name w:val="apple-style-span"/>
    <w:basedOn w:val="DefaultParagraphFont"/>
    <w:rsid w:val="00EB2FF1"/>
  </w:style>
  <w:style w:type="paragraph" w:customStyle="1" w:styleId="Normaltimesnewroman14pt">
    <w:name w:val="Normal + times new roman 14 pt"/>
    <w:aliases w:val="Black"/>
    <w:basedOn w:val="Normal"/>
    <w:rsid w:val="003C07E7"/>
    <w:pPr>
      <w:spacing w:line="360" w:lineRule="auto"/>
    </w:pPr>
    <w:rPr>
      <w:color w:val="000000"/>
      <w:sz w:val="28"/>
      <w:szCs w:val="28"/>
    </w:rPr>
  </w:style>
  <w:style w:type="paragraph" w:customStyle="1" w:styleId="TableParagraph">
    <w:name w:val="Table Paragraph"/>
    <w:basedOn w:val="Normal"/>
    <w:uiPriority w:val="1"/>
    <w:qFormat/>
    <w:rsid w:val="00DB376D"/>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ycontrol.com/stocks/company_info/pricechart.php?sc_did=VI14" TargetMode="External"/><Relationship Id="rId13" Type="http://schemas.openxmlformats.org/officeDocument/2006/relationships/hyperlink" Target="http://www.moneycontrol.com/stocks/company_info/pricechart.php?sc_did=TP" TargetMode="External"/><Relationship Id="rId18" Type="http://schemas.openxmlformats.org/officeDocument/2006/relationships/hyperlink" Target="http://www.moneycontrol.com/stocks/company_info/pricechart.php?sc_did=BL" TargetMode="External"/><Relationship Id="rId26" Type="http://schemas.openxmlformats.org/officeDocument/2006/relationships/hyperlink" Target="http://www.moneycontrol.com/stocks/company_info/pricechart.php?sc_did=VI21" TargetMode="External"/><Relationship Id="rId3" Type="http://schemas.openxmlformats.org/officeDocument/2006/relationships/settings" Target="settings.xml"/><Relationship Id="rId21" Type="http://schemas.openxmlformats.org/officeDocument/2006/relationships/hyperlink" Target="http://www.moneycontrol.com/stocks/company_info/pricechart.php?sc_did=IGS" TargetMode="External"/><Relationship Id="rId7" Type="http://schemas.openxmlformats.org/officeDocument/2006/relationships/hyperlink" Target="http://www.moneycontrol.com/stocks/company_info/pricechart.php?sc_did=ITS" TargetMode="External"/><Relationship Id="rId12" Type="http://schemas.openxmlformats.org/officeDocument/2006/relationships/hyperlink" Target="http://www.moneycontrol.com/stocks/company_info/pricechart.php?sc_did=OCA" TargetMode="External"/><Relationship Id="rId17" Type="http://schemas.openxmlformats.org/officeDocument/2006/relationships/hyperlink" Target="http://www.moneycontrol.com/stocks/company_info/pricechart.php?sc_did=TPS01" TargetMode="External"/><Relationship Id="rId25" Type="http://schemas.openxmlformats.org/officeDocument/2006/relationships/hyperlink" Target="http://www.moneycontrol.com/stocks/company_info/pricechart.php?sc_did=TH" TargetMode="External"/><Relationship Id="rId2" Type="http://schemas.openxmlformats.org/officeDocument/2006/relationships/styles" Target="styles.xml"/><Relationship Id="rId16" Type="http://schemas.openxmlformats.org/officeDocument/2006/relationships/hyperlink" Target="http://www.moneycontrol.com/stocks/company_info/pricechart.php?sc_did=S17" TargetMode="External"/><Relationship Id="rId20" Type="http://schemas.openxmlformats.org/officeDocument/2006/relationships/hyperlink" Target="http://www.moneycontrol.com/stocks/company_info/pricechart.php?sc_did=LF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eycontrol.com/stocks/company_info/pricechart.php?sc_did=FI08" TargetMode="External"/><Relationship Id="rId24" Type="http://schemas.openxmlformats.org/officeDocument/2006/relationships/hyperlink" Target="http://www.moneycontrol.com/stocks/company_info/pricechart.php?sc_did=RD0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neycontrol.com/stocks/company_info/pricechart.php?sc_did=PE06" TargetMode="External"/><Relationship Id="rId23" Type="http://schemas.openxmlformats.org/officeDocument/2006/relationships/hyperlink" Target="http://www.moneycontrol.com/stocks/company_info/pricechart.php?sc_did=BPM" TargetMode="External"/><Relationship Id="rId28" Type="http://schemas.openxmlformats.org/officeDocument/2006/relationships/chart" Target="charts/chart2.xml"/><Relationship Id="rId10" Type="http://schemas.openxmlformats.org/officeDocument/2006/relationships/hyperlink" Target="http://www.moneycontrol.com/stocks/company_info/pricechart.php?sc_did=TS05" TargetMode="External"/><Relationship Id="rId19" Type="http://schemas.openxmlformats.org/officeDocument/2006/relationships/hyperlink" Target="http://www.moneycontrol.com/stocks/company_info/pricechart.php?sc_did=THE0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eycontrol.com/stocks/company_info/pricechart.php?sc_did=S18" TargetMode="External"/><Relationship Id="rId14" Type="http://schemas.openxmlformats.org/officeDocument/2006/relationships/hyperlink" Target="http://www.moneycontrol.com/stocks/company_info/pricechart.php?sc_did=PC02" TargetMode="External"/><Relationship Id="rId22" Type="http://schemas.openxmlformats.org/officeDocument/2006/relationships/hyperlink" Target="http://www.moneycontrol.com/stocks/company_info/pricechart.php?sc_did=RSI02" TargetMode="External"/><Relationship Id="rId27" Type="http://schemas.openxmlformats.org/officeDocument/2006/relationships/chart" Target="charts/chart1.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8"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1.jpeg"/><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Issue Price</c:v>
                </c:pt>
              </c:strCache>
            </c:strRef>
          </c:tx>
          <c:invertIfNegative val="0"/>
          <c:cat>
            <c:strRef>
              <c:f>Sheet1!$A$2:$A$27</c:f>
              <c:strCache>
                <c:ptCount val="26"/>
                <c:pt idx="0">
                  <c:v>  November-2016</c:v>
                </c:pt>
                <c:pt idx="1">
                  <c:v>Indo Thai Secu</c:v>
                </c:pt>
                <c:pt idx="2">
                  <c:v>  October-2016</c:v>
                </c:pt>
                <c:pt idx="3">
                  <c:v>Vaswani Ind</c:v>
                </c:pt>
                <c:pt idx="4">
                  <c:v>M and B Switch</c:v>
                </c:pt>
                <c:pt idx="5">
                  <c:v>Taksheel Solut</c:v>
                </c:pt>
                <c:pt idx="6">
                  <c:v>Flexituff Inter</c:v>
                </c:pt>
                <c:pt idx="7">
                  <c:v>Onelife Capital</c:v>
                </c:pt>
                <c:pt idx="8">
                  <c:v>Tijaria Polypip</c:v>
                </c:pt>
                <c:pt idx="9">
                  <c:v>Prakash Constro</c:v>
                </c:pt>
                <c:pt idx="10">
                  <c:v>  September-2016</c:v>
                </c:pt>
                <c:pt idx="11">
                  <c:v>PG Electroplast</c:v>
                </c:pt>
                <c:pt idx="12">
                  <c:v>SRS</c:v>
                </c:pt>
                <c:pt idx="13">
                  <c:v>TD Power System</c:v>
                </c:pt>
                <c:pt idx="14">
                  <c:v>Brooks Labs</c:v>
                </c:pt>
                <c:pt idx="15">
                  <c:v>  August-2016</c:v>
                </c:pt>
                <c:pt idx="16">
                  <c:v>Tree House Edu</c:v>
                </c:pt>
                <c:pt idx="17">
                  <c:v>L&amp;T Finance</c:v>
                </c:pt>
                <c:pt idx="18">
                  <c:v>Inventure Grow</c:v>
                </c:pt>
                <c:pt idx="19">
                  <c:v>  July-2016</c:v>
                </c:pt>
                <c:pt idx="20">
                  <c:v>Readymade Steel</c:v>
                </c:pt>
                <c:pt idx="21">
                  <c:v>Birla Pacific</c:v>
                </c:pt>
                <c:pt idx="22">
                  <c:v>Rushil Decor</c:v>
                </c:pt>
                <c:pt idx="23">
                  <c:v>  June-2016</c:v>
                </c:pt>
                <c:pt idx="24">
                  <c:v>Timbor Home</c:v>
                </c:pt>
                <c:pt idx="25">
                  <c:v>VMS Industries</c:v>
                </c:pt>
              </c:strCache>
            </c:strRef>
          </c:cat>
          <c:val>
            <c:numRef>
              <c:f>Sheet1!$B$2:$B$27</c:f>
              <c:numCache>
                <c:formatCode>General</c:formatCode>
                <c:ptCount val="26"/>
                <c:pt idx="1">
                  <c:v>74</c:v>
                </c:pt>
                <c:pt idx="3">
                  <c:v>49</c:v>
                </c:pt>
                <c:pt idx="4">
                  <c:v>186</c:v>
                </c:pt>
                <c:pt idx="5">
                  <c:v>180</c:v>
                </c:pt>
                <c:pt idx="6">
                  <c:v>185</c:v>
                </c:pt>
                <c:pt idx="7">
                  <c:v>137</c:v>
                </c:pt>
                <c:pt idx="8">
                  <c:v>60</c:v>
                </c:pt>
                <c:pt idx="9">
                  <c:v>148</c:v>
                </c:pt>
                <c:pt idx="11">
                  <c:v>218</c:v>
                </c:pt>
                <c:pt idx="12">
                  <c:v>58</c:v>
                </c:pt>
                <c:pt idx="13">
                  <c:v>256</c:v>
                </c:pt>
                <c:pt idx="14">
                  <c:v>180</c:v>
                </c:pt>
                <c:pt idx="16">
                  <c:v>145</c:v>
                </c:pt>
                <c:pt idx="17">
                  <c:v>52</c:v>
                </c:pt>
                <c:pt idx="18">
                  <c:v>137</c:v>
                </c:pt>
                <c:pt idx="20">
                  <c:v>188</c:v>
                </c:pt>
                <c:pt idx="21">
                  <c:v>18</c:v>
                </c:pt>
                <c:pt idx="22">
                  <c:v>72</c:v>
                </c:pt>
                <c:pt idx="24">
                  <c:v>63</c:v>
                </c:pt>
                <c:pt idx="25">
                  <c:v>40</c:v>
                </c:pt>
              </c:numCache>
            </c:numRef>
          </c:val>
        </c:ser>
        <c:ser>
          <c:idx val="1"/>
          <c:order val="1"/>
          <c:tx>
            <c:strRef>
              <c:f>Sheet1!$C$1</c:f>
              <c:strCache>
                <c:ptCount val="1"/>
                <c:pt idx="0">
                  <c:v>Current Price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Sheet1!$A$2:$A$27</c:f>
              <c:strCache>
                <c:ptCount val="26"/>
                <c:pt idx="0">
                  <c:v>  November-2016</c:v>
                </c:pt>
                <c:pt idx="1">
                  <c:v>Indo Thai Secu</c:v>
                </c:pt>
                <c:pt idx="2">
                  <c:v>  October-2016</c:v>
                </c:pt>
                <c:pt idx="3">
                  <c:v>Vaswani Ind</c:v>
                </c:pt>
                <c:pt idx="4">
                  <c:v>M and B Switch</c:v>
                </c:pt>
                <c:pt idx="5">
                  <c:v>Taksheel Solut</c:v>
                </c:pt>
                <c:pt idx="6">
                  <c:v>Flexituff Inter</c:v>
                </c:pt>
                <c:pt idx="7">
                  <c:v>Onelife Capital</c:v>
                </c:pt>
                <c:pt idx="8">
                  <c:v>Tijaria Polypip</c:v>
                </c:pt>
                <c:pt idx="9">
                  <c:v>Prakash Constro</c:v>
                </c:pt>
                <c:pt idx="10">
                  <c:v>  September-2016</c:v>
                </c:pt>
                <c:pt idx="11">
                  <c:v>PG Electroplast</c:v>
                </c:pt>
                <c:pt idx="12">
                  <c:v>SRS</c:v>
                </c:pt>
                <c:pt idx="13">
                  <c:v>TD Power System</c:v>
                </c:pt>
                <c:pt idx="14">
                  <c:v>Brooks Labs</c:v>
                </c:pt>
                <c:pt idx="15">
                  <c:v>  August-2016</c:v>
                </c:pt>
                <c:pt idx="16">
                  <c:v>Tree House Edu</c:v>
                </c:pt>
                <c:pt idx="17">
                  <c:v>L&amp;T Finance</c:v>
                </c:pt>
                <c:pt idx="18">
                  <c:v>Inventure Grow</c:v>
                </c:pt>
                <c:pt idx="19">
                  <c:v>  July-2016</c:v>
                </c:pt>
                <c:pt idx="20">
                  <c:v>Readymade Steel</c:v>
                </c:pt>
                <c:pt idx="21">
                  <c:v>Birla Pacific</c:v>
                </c:pt>
                <c:pt idx="22">
                  <c:v>Rushil Decor</c:v>
                </c:pt>
                <c:pt idx="23">
                  <c:v>  June-2016</c:v>
                </c:pt>
                <c:pt idx="24">
                  <c:v>Timbor Home</c:v>
                </c:pt>
                <c:pt idx="25">
                  <c:v>VMS Industries</c:v>
                </c:pt>
              </c:strCache>
            </c:strRef>
          </c:cat>
          <c:val>
            <c:numRef>
              <c:f>Sheet1!$C$2:$C$27</c:f>
              <c:numCache>
                <c:formatCode>General</c:formatCode>
                <c:ptCount val="26"/>
                <c:pt idx="1">
                  <c:v>14.93</c:v>
                </c:pt>
                <c:pt idx="3">
                  <c:v>18.989999999999874</c:v>
                </c:pt>
                <c:pt idx="4">
                  <c:v>68.3</c:v>
                </c:pt>
                <c:pt idx="5">
                  <c:v>14.53</c:v>
                </c:pt>
                <c:pt idx="6">
                  <c:v>249.7</c:v>
                </c:pt>
                <c:pt idx="7">
                  <c:v>299.2</c:v>
                </c:pt>
                <c:pt idx="8">
                  <c:v>8.94</c:v>
                </c:pt>
                <c:pt idx="9">
                  <c:v>141.69999999999999</c:v>
                </c:pt>
                <c:pt idx="11">
                  <c:v>181</c:v>
                </c:pt>
                <c:pt idx="12">
                  <c:v>34.25</c:v>
                </c:pt>
                <c:pt idx="13">
                  <c:v>244.09</c:v>
                </c:pt>
                <c:pt idx="14">
                  <c:v>16.14</c:v>
                </c:pt>
                <c:pt idx="16">
                  <c:v>216.18</c:v>
                </c:pt>
                <c:pt idx="17">
                  <c:v>48.949999999999996</c:v>
                </c:pt>
                <c:pt idx="18">
                  <c:v>218.2</c:v>
                </c:pt>
                <c:pt idx="20">
                  <c:v>63.75</c:v>
                </c:pt>
                <c:pt idx="21">
                  <c:v>7.01</c:v>
                </c:pt>
                <c:pt idx="22">
                  <c:v>181.09</c:v>
                </c:pt>
                <c:pt idx="24">
                  <c:v>28.7</c:v>
                </c:pt>
                <c:pt idx="25">
                  <c:v>44.55</c:v>
                </c:pt>
              </c:numCache>
            </c:numRef>
          </c:val>
        </c:ser>
        <c:ser>
          <c:idx val="2"/>
          <c:order val="2"/>
          <c:tx>
            <c:strRef>
              <c:f>Sheet1!$D$1</c:f>
              <c:strCache>
                <c:ptCount val="1"/>
                <c:pt idx="0">
                  <c:v>%Gain/Loss</c:v>
                </c:pt>
              </c:strCache>
            </c:strRef>
          </c:tx>
          <c:invertIfNegative val="0"/>
          <c:cat>
            <c:strRef>
              <c:f>Sheet1!$A$2:$A$27</c:f>
              <c:strCache>
                <c:ptCount val="26"/>
                <c:pt idx="0">
                  <c:v>  November-2016</c:v>
                </c:pt>
                <c:pt idx="1">
                  <c:v>Indo Thai Secu</c:v>
                </c:pt>
                <c:pt idx="2">
                  <c:v>  October-2016</c:v>
                </c:pt>
                <c:pt idx="3">
                  <c:v>Vaswani Ind</c:v>
                </c:pt>
                <c:pt idx="4">
                  <c:v>M and B Switch</c:v>
                </c:pt>
                <c:pt idx="5">
                  <c:v>Taksheel Solut</c:v>
                </c:pt>
                <c:pt idx="6">
                  <c:v>Flexituff Inter</c:v>
                </c:pt>
                <c:pt idx="7">
                  <c:v>Onelife Capital</c:v>
                </c:pt>
                <c:pt idx="8">
                  <c:v>Tijaria Polypip</c:v>
                </c:pt>
                <c:pt idx="9">
                  <c:v>Prakash Constro</c:v>
                </c:pt>
                <c:pt idx="10">
                  <c:v>  September-2016</c:v>
                </c:pt>
                <c:pt idx="11">
                  <c:v>PG Electroplast</c:v>
                </c:pt>
                <c:pt idx="12">
                  <c:v>SRS</c:v>
                </c:pt>
                <c:pt idx="13">
                  <c:v>TD Power System</c:v>
                </c:pt>
                <c:pt idx="14">
                  <c:v>Brooks Labs</c:v>
                </c:pt>
                <c:pt idx="15">
                  <c:v>  August-2016</c:v>
                </c:pt>
                <c:pt idx="16">
                  <c:v>Tree House Edu</c:v>
                </c:pt>
                <c:pt idx="17">
                  <c:v>L&amp;T Finance</c:v>
                </c:pt>
                <c:pt idx="18">
                  <c:v>Inventure Grow</c:v>
                </c:pt>
                <c:pt idx="19">
                  <c:v>  July-2016</c:v>
                </c:pt>
                <c:pt idx="20">
                  <c:v>Readymade Steel</c:v>
                </c:pt>
                <c:pt idx="21">
                  <c:v>Birla Pacific</c:v>
                </c:pt>
                <c:pt idx="22">
                  <c:v>Rushil Decor</c:v>
                </c:pt>
                <c:pt idx="23">
                  <c:v>  June-2016</c:v>
                </c:pt>
                <c:pt idx="24">
                  <c:v>Timbor Home</c:v>
                </c:pt>
                <c:pt idx="25">
                  <c:v>VMS Industries</c:v>
                </c:pt>
              </c:strCache>
            </c:strRef>
          </c:cat>
          <c:val>
            <c:numRef>
              <c:f>Sheet1!$D$2:$D$27</c:f>
              <c:numCache>
                <c:formatCode>General</c:formatCode>
                <c:ptCount val="26"/>
                <c:pt idx="1">
                  <c:v>-82.53</c:v>
                </c:pt>
                <c:pt idx="3">
                  <c:v>-77.569999999999993</c:v>
                </c:pt>
                <c:pt idx="4">
                  <c:v>-63.28</c:v>
                </c:pt>
                <c:pt idx="5">
                  <c:v>-90.98</c:v>
                </c:pt>
                <c:pt idx="6">
                  <c:v>61.18</c:v>
                </c:pt>
                <c:pt idx="7">
                  <c:v>182</c:v>
                </c:pt>
                <c:pt idx="8">
                  <c:v>-85.179999999999978</c:v>
                </c:pt>
                <c:pt idx="9">
                  <c:v>-4.57</c:v>
                </c:pt>
                <c:pt idx="11">
                  <c:v>-18.57</c:v>
                </c:pt>
                <c:pt idx="12">
                  <c:v>-40.949999999999996</c:v>
                </c:pt>
                <c:pt idx="13">
                  <c:v>-4.67</c:v>
                </c:pt>
                <c:pt idx="14">
                  <c:v>-85.92</c:v>
                </c:pt>
                <c:pt idx="16">
                  <c:v>58.63</c:v>
                </c:pt>
                <c:pt idx="17">
                  <c:v>-5.87</c:v>
                </c:pt>
                <c:pt idx="18">
                  <c:v>79.66</c:v>
                </c:pt>
                <c:pt idx="20">
                  <c:v>-40.97</c:v>
                </c:pt>
                <c:pt idx="21">
                  <c:v>-29.9</c:v>
                </c:pt>
                <c:pt idx="22">
                  <c:v>143.68</c:v>
                </c:pt>
                <c:pt idx="24">
                  <c:v>-54.44</c:v>
                </c:pt>
                <c:pt idx="25">
                  <c:v>13.370000000000006</c:v>
                </c:pt>
              </c:numCache>
            </c:numRef>
          </c:val>
        </c:ser>
        <c:dLbls>
          <c:showLegendKey val="0"/>
          <c:showVal val="0"/>
          <c:showCatName val="0"/>
          <c:showSerName val="0"/>
          <c:showPercent val="0"/>
          <c:showBubbleSize val="0"/>
        </c:dLbls>
        <c:gapWidth val="150"/>
        <c:shape val="box"/>
        <c:axId val="293291520"/>
        <c:axId val="210946048"/>
        <c:axId val="0"/>
      </c:bar3DChart>
      <c:catAx>
        <c:axId val="293291520"/>
        <c:scaling>
          <c:orientation val="minMax"/>
        </c:scaling>
        <c:delete val="0"/>
        <c:axPos val="b"/>
        <c:numFmt formatCode="General" sourceLinked="0"/>
        <c:majorTickMark val="out"/>
        <c:minorTickMark val="none"/>
        <c:tickLblPos val="nextTo"/>
        <c:crossAx val="210946048"/>
        <c:crosses val="autoZero"/>
        <c:auto val="1"/>
        <c:lblAlgn val="ctr"/>
        <c:lblOffset val="100"/>
        <c:noMultiLvlLbl val="0"/>
      </c:catAx>
      <c:valAx>
        <c:axId val="210946048"/>
        <c:scaling>
          <c:orientation val="minMax"/>
        </c:scaling>
        <c:delete val="0"/>
        <c:axPos val="l"/>
        <c:majorGridlines/>
        <c:numFmt formatCode="General" sourceLinked="1"/>
        <c:majorTickMark val="out"/>
        <c:minorTickMark val="none"/>
        <c:tickLblPos val="nextTo"/>
        <c:crossAx val="293291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96" b="1" i="0" u="none" strike="noStrike" baseline="0">
                <a:solidFill>
                  <a:srgbClr val="000000"/>
                </a:solidFill>
                <a:latin typeface="Arial"/>
                <a:ea typeface="Arial"/>
                <a:cs typeface="Arial"/>
              </a:defRPr>
            </a:pPr>
            <a:r>
              <a:rPr lang="en-US"/>
              <a:t>CHART SHOWING ISSUE PRICE &amp; LTP</a:t>
            </a:r>
          </a:p>
        </c:rich>
      </c:tx>
      <c:layout>
        <c:manualLayout>
          <c:xMode val="edge"/>
          <c:yMode val="edge"/>
          <c:x val="0.21865893400879491"/>
          <c:y val="1.9607782442428327E-2"/>
        </c:manualLayout>
      </c:layout>
      <c:overlay val="0"/>
      <c:spPr>
        <a:noFill/>
        <a:ln w="25336">
          <a:noFill/>
        </a:ln>
      </c:spPr>
    </c:title>
    <c:autoTitleDeleted val="0"/>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blipFill dpi="0" rotWithShape="0">
          <a:blip xmlns:r="http://schemas.openxmlformats.org/officeDocument/2006/relationships" r:embed="rId2"/>
          <a:srcRect/>
          <a:tile tx="0" ty="0" sx="100000" sy="100000" flip="none" algn="tl"/>
        </a:blipFill>
        <a:ln w="12700">
          <a:solidFill>
            <a:srgbClr val="808080"/>
          </a:solidFill>
          <a:prstDash val="solid"/>
        </a:ln>
      </c:spPr>
    </c:sideWall>
    <c:backWall>
      <c:thickness val="0"/>
      <c:spPr>
        <a:blipFill dpi="0" rotWithShape="0">
          <a:blip xmlns:r="http://schemas.openxmlformats.org/officeDocument/2006/relationships" r:embed="rId2"/>
          <a:srcRect/>
          <a:tile tx="0" ty="0" sx="100000" sy="100000" flip="none" algn="tl"/>
        </a:blipFill>
        <a:ln w="12700">
          <a:solidFill>
            <a:srgbClr val="808080"/>
          </a:solidFill>
          <a:prstDash val="solid"/>
        </a:ln>
      </c:spPr>
    </c:backWall>
    <c:plotArea>
      <c:layout>
        <c:manualLayout>
          <c:layoutTarget val="inner"/>
          <c:xMode val="edge"/>
          <c:yMode val="edge"/>
          <c:x val="0.12390670553935862"/>
          <c:y val="0.19607843137254921"/>
          <c:w val="0.86151603498542251"/>
          <c:h val="0.47058823529412297"/>
        </c:manualLayout>
      </c:layout>
      <c:bar3DChart>
        <c:barDir val="col"/>
        <c:grouping val="clustered"/>
        <c:varyColors val="0"/>
        <c:ser>
          <c:idx val="0"/>
          <c:order val="0"/>
          <c:tx>
            <c:strRef>
              <c:f>Sheet1!$A$2</c:f>
              <c:strCache>
                <c:ptCount val="1"/>
                <c:pt idx="0">
                  <c:v>I P</c:v>
                </c:pt>
              </c:strCache>
            </c:strRef>
          </c:tx>
          <c:spPr>
            <a:gradFill rotWithShape="0">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2700000" scaled="1"/>
            </a:gradFill>
            <a:ln w="12668">
              <a:solidFill>
                <a:srgbClr val="000000"/>
              </a:solidFill>
              <a:prstDash val="solid"/>
            </a:ln>
          </c:spPr>
          <c:invertIfNegative val="0"/>
          <c:cat>
            <c:strRef>
              <c:f>Sheet1!$B$1:$I$1</c:f>
              <c:strCache>
                <c:ptCount val="8"/>
                <c:pt idx="0">
                  <c:v>AIL</c:v>
                </c:pt>
                <c:pt idx="1">
                  <c:v>AMD</c:v>
                </c:pt>
                <c:pt idx="2">
                  <c:v>SMS</c:v>
                </c:pt>
                <c:pt idx="3">
                  <c:v>PPL</c:v>
                </c:pt>
                <c:pt idx="4">
                  <c:v>NLSL</c:v>
                </c:pt>
                <c:pt idx="5">
                  <c:v>IRL</c:v>
                </c:pt>
                <c:pt idx="6">
                  <c:v>DPCL</c:v>
                </c:pt>
                <c:pt idx="7">
                  <c:v>BL</c:v>
                </c:pt>
              </c:strCache>
            </c:strRef>
          </c:cat>
          <c:val>
            <c:numRef>
              <c:f>Sheet1!$B$2:$I$2</c:f>
              <c:numCache>
                <c:formatCode>General</c:formatCode>
                <c:ptCount val="8"/>
                <c:pt idx="0">
                  <c:v>640</c:v>
                </c:pt>
                <c:pt idx="1">
                  <c:v>75</c:v>
                </c:pt>
                <c:pt idx="2">
                  <c:v>380</c:v>
                </c:pt>
                <c:pt idx="3">
                  <c:v>300</c:v>
                </c:pt>
                <c:pt idx="4">
                  <c:v>240</c:v>
                </c:pt>
                <c:pt idx="5">
                  <c:v>245</c:v>
                </c:pt>
                <c:pt idx="6">
                  <c:v>175</c:v>
                </c:pt>
                <c:pt idx="7">
                  <c:v>315</c:v>
                </c:pt>
              </c:numCache>
            </c:numRef>
          </c:val>
        </c:ser>
        <c:ser>
          <c:idx val="1"/>
          <c:order val="1"/>
          <c:tx>
            <c:strRef>
              <c:f>Sheet1!$A$3</c:f>
              <c:strCache>
                <c:ptCount val="1"/>
                <c:pt idx="0">
                  <c:v>LTP</c:v>
                </c:pt>
              </c:strCache>
            </c:strRef>
          </c:tx>
          <c:spPr>
            <a:gradFill rotWithShape="0">
              <a:gsLst>
                <a:gs pos="0">
                  <a:srgbClr val="006699"/>
                </a:gs>
                <a:gs pos="19000">
                  <a:srgbClr val="1170FF"/>
                </a:gs>
                <a:gs pos="28999">
                  <a:srgbClr val="3333CC"/>
                </a:gs>
                <a:gs pos="39999">
                  <a:srgbClr val="2E6792"/>
                </a:gs>
                <a:gs pos="53000">
                  <a:srgbClr val="9999FF"/>
                </a:gs>
                <a:gs pos="84000">
                  <a:srgbClr val="00CCCC"/>
                </a:gs>
                <a:gs pos="100000">
                  <a:srgbClr val="3399FF"/>
                </a:gs>
              </a:gsLst>
              <a:path path="rect">
                <a:fillToRect l="50000" t="50000" r="50000" b="50000"/>
              </a:path>
            </a:gradFill>
            <a:ln w="12668">
              <a:solidFill>
                <a:srgbClr val="000000"/>
              </a:solidFill>
              <a:prstDash val="solid"/>
            </a:ln>
          </c:spPr>
          <c:invertIfNegative val="0"/>
          <c:cat>
            <c:strRef>
              <c:f>Sheet1!$B$1:$I$1</c:f>
              <c:strCache>
                <c:ptCount val="8"/>
                <c:pt idx="0">
                  <c:v>AIL</c:v>
                </c:pt>
                <c:pt idx="1">
                  <c:v>AMD</c:v>
                </c:pt>
                <c:pt idx="2">
                  <c:v>SMS</c:v>
                </c:pt>
                <c:pt idx="3">
                  <c:v>PPL</c:v>
                </c:pt>
                <c:pt idx="4">
                  <c:v>NLSL</c:v>
                </c:pt>
                <c:pt idx="5">
                  <c:v>IRL</c:v>
                </c:pt>
                <c:pt idx="6">
                  <c:v>DPCL</c:v>
                </c:pt>
                <c:pt idx="7">
                  <c:v>BL</c:v>
                </c:pt>
              </c:strCache>
            </c:strRef>
          </c:cat>
          <c:val>
            <c:numRef>
              <c:f>Sheet1!$B$3:$I$3</c:f>
              <c:numCache>
                <c:formatCode>General</c:formatCode>
                <c:ptCount val="8"/>
                <c:pt idx="0">
                  <c:v>1036</c:v>
                </c:pt>
                <c:pt idx="1">
                  <c:v>45.7</c:v>
                </c:pt>
                <c:pt idx="2">
                  <c:v>293.45</c:v>
                </c:pt>
                <c:pt idx="3">
                  <c:v>402</c:v>
                </c:pt>
                <c:pt idx="4">
                  <c:v>248.5</c:v>
                </c:pt>
                <c:pt idx="5">
                  <c:v>246.75</c:v>
                </c:pt>
                <c:pt idx="6">
                  <c:v>298.3</c:v>
                </c:pt>
                <c:pt idx="7">
                  <c:v>451.95</c:v>
                </c:pt>
              </c:numCache>
            </c:numRef>
          </c:val>
        </c:ser>
        <c:dLbls>
          <c:showLegendKey val="0"/>
          <c:showVal val="0"/>
          <c:showCatName val="0"/>
          <c:showSerName val="0"/>
          <c:showPercent val="0"/>
          <c:showBubbleSize val="0"/>
        </c:dLbls>
        <c:gapWidth val="150"/>
        <c:gapDepth val="0"/>
        <c:shape val="box"/>
        <c:axId val="210943304"/>
        <c:axId val="210943696"/>
        <c:axId val="0"/>
      </c:bar3DChart>
      <c:catAx>
        <c:axId val="210943304"/>
        <c:scaling>
          <c:orientation val="minMax"/>
        </c:scaling>
        <c:delete val="0"/>
        <c:axPos val="b"/>
        <c:numFmt formatCode="General" sourceLinked="1"/>
        <c:majorTickMark val="out"/>
        <c:minorTickMark val="none"/>
        <c:tickLblPos val="low"/>
        <c:spPr>
          <a:ln w="3167">
            <a:solidFill>
              <a:srgbClr val="000000"/>
            </a:solidFill>
            <a:prstDash val="solid"/>
          </a:ln>
        </c:spPr>
        <c:txPr>
          <a:bodyPr rot="-2700000" vert="horz"/>
          <a:lstStyle/>
          <a:p>
            <a:pPr>
              <a:defRPr sz="1798" b="1" i="0" u="none" strike="noStrike" baseline="0">
                <a:solidFill>
                  <a:srgbClr val="000000"/>
                </a:solidFill>
                <a:latin typeface="Arial"/>
                <a:ea typeface="Arial"/>
                <a:cs typeface="Arial"/>
              </a:defRPr>
            </a:pPr>
            <a:endParaRPr lang="en-US"/>
          </a:p>
        </c:txPr>
        <c:crossAx val="210943696"/>
        <c:crosses val="autoZero"/>
        <c:auto val="1"/>
        <c:lblAlgn val="ctr"/>
        <c:lblOffset val="100"/>
        <c:tickLblSkip val="1"/>
        <c:tickMarkSkip val="1"/>
        <c:noMultiLvlLbl val="0"/>
      </c:catAx>
      <c:valAx>
        <c:axId val="210943696"/>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798" b="1" i="0" u="none" strike="noStrike" baseline="0">
                <a:solidFill>
                  <a:srgbClr val="000000"/>
                </a:solidFill>
                <a:latin typeface="Arial"/>
                <a:ea typeface="Arial"/>
                <a:cs typeface="Arial"/>
              </a:defRPr>
            </a:pPr>
            <a:endParaRPr lang="en-US"/>
          </a:p>
        </c:txPr>
        <c:crossAx val="210943304"/>
        <c:crosses val="autoZero"/>
        <c:crossBetween val="between"/>
      </c:valAx>
      <c:spPr>
        <a:noFill/>
        <a:ln w="25368">
          <a:noFill/>
        </a:ln>
      </c:spPr>
    </c:plotArea>
    <c:legend>
      <c:legendPos val="b"/>
      <c:layout>
        <c:manualLayout>
          <c:xMode val="edge"/>
          <c:yMode val="edge"/>
          <c:x val="0.39212827654185861"/>
          <c:y val="0.89950976029716156"/>
          <c:w val="0.2142857033700474"/>
          <c:h val="9.3137289042800941E-2"/>
        </c:manualLayout>
      </c:layout>
      <c:overlay val="0"/>
      <c:spPr>
        <a:noFill/>
        <a:ln w="3167">
          <a:solidFill>
            <a:srgbClr val="000000"/>
          </a:solidFill>
          <a:prstDash val="solid"/>
        </a:ln>
      </c:spPr>
      <c:txPr>
        <a:bodyPr/>
        <a:lstStyle/>
        <a:p>
          <a:pPr>
            <a:defRPr sz="1651"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798" b="1" i="0" u="none" strike="noStrike" baseline="0">
          <a:solidFill>
            <a:srgbClr val="000000"/>
          </a:solidFill>
          <a:latin typeface="Arial"/>
          <a:ea typeface="Arial"/>
          <a:cs typeface="Arial"/>
        </a:defRPr>
      </a:pPr>
      <a:endParaRPr lang="en-US"/>
    </a:p>
  </c:tx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26</TotalTime>
  <Pages>10</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Khayyum pc</dc:creator>
  <cp:lastModifiedBy>Microsoft account</cp:lastModifiedBy>
  <cp:revision>6</cp:revision>
  <cp:lastPrinted>2021-09-12T10:41:00Z</cp:lastPrinted>
  <dcterms:created xsi:type="dcterms:W3CDTF">2021-07-26T08:29:00Z</dcterms:created>
  <dcterms:modified xsi:type="dcterms:W3CDTF">2023-03-24T05:16:00Z</dcterms:modified>
</cp:coreProperties>
</file>