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60" w:after="60" w:lineRule="auto" w:line="240"/>
        <w:jc w:val="both"/>
        <w:rPr>
          <w:rFonts w:ascii="Times New Roman" w:cs="Times New Roman" w:hAnsi="Times New Roman"/>
          <w:b/>
          <w:bCs/>
          <w:i/>
          <w:sz w:val="32"/>
          <w:szCs w:val="32"/>
        </w:rPr>
      </w:pPr>
    </w:p>
    <w:p>
      <w:pPr>
        <w:pStyle w:val="style0"/>
        <w:spacing w:before="60" w:after="60" w:lineRule="auto" w:line="240"/>
        <w:jc w:val="both"/>
        <w:rPr>
          <w:rFonts w:ascii="Times New Roman" w:cs="Times New Roman" w:hAnsi="Times New Roman"/>
          <w:bCs/>
          <w:sz w:val="32"/>
          <w:szCs w:val="32"/>
        </w:rPr>
      </w:pPr>
      <w:r>
        <w:rPr>
          <w:rFonts w:ascii="Times New Roman" w:cs="Times New Roman" w:hAnsi="Times New Roman"/>
          <w:bCs/>
          <w:sz w:val="32"/>
          <w:szCs w:val="32"/>
        </w:rPr>
        <w:t xml:space="preserve">                       </w:t>
      </w:r>
      <w:r>
        <w:rPr>
          <w:noProof/>
          <w:sz w:val="32"/>
          <w:szCs w:val="32"/>
        </w:rPr>
        <w:drawing>
          <wp:inline distL="0" distT="0" distB="0" distR="0">
            <wp:extent cx="3953484" cy="428624"/>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3953484" cy="428624"/>
                    </a:xfrm>
                    <a:prstGeom prst="rect"/>
                  </pic:spPr>
                </pic:pic>
              </a:graphicData>
            </a:graphic>
          </wp:inline>
        </w:drawing>
      </w:r>
    </w:p>
    <w:p>
      <w:pPr>
        <w:pStyle w:val="style0"/>
        <w:spacing w:before="60" w:after="60" w:lineRule="auto" w:line="240"/>
        <w:jc w:val="both"/>
        <w:rPr>
          <w:rFonts w:ascii="Times New Roman" w:cs="Times New Roman" w:hAnsi="Times New Roman"/>
          <w:bCs/>
          <w:sz w:val="32"/>
          <w:szCs w:val="32"/>
        </w:rPr>
      </w:pPr>
    </w:p>
    <w:p>
      <w:pPr>
        <w:pStyle w:val="style0"/>
        <w:spacing w:before="60" w:after="60" w:lineRule="auto" w:line="240"/>
        <w:jc w:val="both"/>
        <w:rPr>
          <w:rFonts w:ascii="Times New Roman" w:cs="Times New Roman" w:hAnsi="Times New Roman"/>
          <w:bCs/>
          <w:sz w:val="32"/>
          <w:szCs w:val="32"/>
        </w:rPr>
      </w:pPr>
    </w:p>
    <w:p>
      <w:pPr>
        <w:pStyle w:val="style0"/>
        <w:rPr>
          <w:sz w:val="32"/>
          <w:szCs w:val="32"/>
        </w:rPr>
      </w:pPr>
    </w:p>
    <w:p>
      <w:pPr>
        <w:pStyle w:val="style0"/>
        <w:rPr>
          <w:sz w:val="32"/>
          <w:szCs w:val="32"/>
        </w:rPr>
      </w:pPr>
    </w:p>
    <w:p>
      <w:pPr>
        <w:pStyle w:val="style0"/>
        <w:rPr>
          <w:sz w:val="32"/>
          <w:szCs w:val="32"/>
        </w:rPr>
      </w:pPr>
    </w:p>
    <w:p>
      <w:pPr>
        <w:pStyle w:val="style0"/>
        <w:jc w:val="center"/>
        <w:rPr>
          <w:b/>
          <w:bCs/>
          <w:sz w:val="32"/>
          <w:szCs w:val="32"/>
          <w:lang w:val="en-US"/>
        </w:rPr>
      </w:pPr>
      <w:r>
        <w:rPr>
          <w:b/>
          <w:bCs/>
          <w:sz w:val="32"/>
          <w:szCs w:val="32"/>
          <w:lang w:val="en-US"/>
        </w:rPr>
        <w:t>Research Topic</w:t>
      </w:r>
    </w:p>
    <w:p>
      <w:pPr>
        <w:pStyle w:val="style0"/>
        <w:jc w:val="center"/>
        <w:rPr>
          <w:b/>
          <w:bCs/>
          <w:sz w:val="32"/>
          <w:szCs w:val="32"/>
          <w:lang w:val="en-US"/>
        </w:rPr>
      </w:pPr>
      <w:r>
        <w:rPr>
          <w:b/>
          <w:bCs/>
          <w:sz w:val="32"/>
          <w:szCs w:val="32"/>
          <w:lang w:val="en-US"/>
        </w:rPr>
        <w:t>IMPACT OF NPA's ON BANKING SECTOR</w:t>
      </w:r>
    </w:p>
    <w:p>
      <w:pPr>
        <w:pStyle w:val="style0"/>
        <w:jc w:val="center"/>
        <w:rPr>
          <w:b/>
          <w:bCs/>
          <w:sz w:val="32"/>
          <w:szCs w:val="32"/>
          <w:lang w:val="en-US"/>
        </w:rPr>
      </w:pPr>
    </w:p>
    <w:p>
      <w:pPr>
        <w:pStyle w:val="style0"/>
        <w:jc w:val="center"/>
        <w:rPr>
          <w:b/>
          <w:bCs/>
          <w:sz w:val="32"/>
          <w:szCs w:val="32"/>
          <w:lang w:val="en-US"/>
        </w:rPr>
      </w:pPr>
      <w:r>
        <w:rPr>
          <w:b/>
          <w:bCs/>
          <w:sz w:val="32"/>
          <w:szCs w:val="32"/>
          <w:lang w:val="en-US"/>
        </w:rPr>
        <w:t>FOR THE FULFILLMENT OF</w:t>
      </w:r>
    </w:p>
    <w:p>
      <w:pPr>
        <w:pStyle w:val="style0"/>
        <w:spacing w:before="60" w:after="60" w:lineRule="auto" w:line="240"/>
        <w:jc w:val="center"/>
        <w:rPr>
          <w:b/>
          <w:bCs/>
          <w:sz w:val="32"/>
          <w:szCs w:val="32"/>
        </w:rPr>
      </w:pPr>
      <w:r>
        <w:rPr>
          <w:b/>
          <w:bCs/>
          <w:sz w:val="32"/>
          <w:szCs w:val="32"/>
          <w:lang w:val="en-US"/>
        </w:rPr>
        <w:t>MASTER OF BUSINESS ADMINISTRATION</w:t>
      </w:r>
    </w:p>
    <w:p>
      <w:pPr>
        <w:pStyle w:val="style0"/>
        <w:spacing w:before="60" w:after="60" w:lineRule="auto" w:line="240"/>
        <w:jc w:val="center"/>
        <w:rPr>
          <w:b/>
          <w:bCs/>
          <w:sz w:val="32"/>
          <w:szCs w:val="32"/>
        </w:rPr>
      </w:pPr>
      <w:r>
        <w:rPr>
          <w:b/>
          <w:bCs/>
          <w:sz w:val="32"/>
          <w:szCs w:val="32"/>
          <w:lang w:val="en-US"/>
        </w:rPr>
        <w:t xml:space="preserve">By </w:t>
      </w:r>
    </w:p>
    <w:p>
      <w:pPr>
        <w:pStyle w:val="style0"/>
        <w:spacing w:before="60" w:after="60" w:lineRule="auto" w:line="240"/>
        <w:jc w:val="left"/>
        <w:rPr>
          <w:b/>
          <w:bCs/>
          <w:sz w:val="32"/>
          <w:szCs w:val="32"/>
        </w:rPr>
      </w:pPr>
      <w:r>
        <w:rPr>
          <w:b/>
          <w:bCs/>
          <w:sz w:val="32"/>
          <w:szCs w:val="32"/>
          <w:lang w:val="en-US"/>
        </w:rPr>
        <w:t xml:space="preserve">                                             SALNI KUMARI</w:t>
      </w:r>
    </w:p>
    <w:p>
      <w:pPr>
        <w:pStyle w:val="style0"/>
        <w:spacing w:before="60" w:after="60" w:lineRule="auto" w:line="240"/>
        <w:jc w:val="left"/>
        <w:rPr>
          <w:b/>
          <w:bCs/>
          <w:sz w:val="32"/>
          <w:szCs w:val="32"/>
        </w:rPr>
      </w:pPr>
      <w:r>
        <w:rPr>
          <w:b/>
          <w:bCs/>
          <w:sz w:val="32"/>
          <w:szCs w:val="32"/>
          <w:lang w:val="en-US"/>
        </w:rPr>
        <w:t xml:space="preserve">                                               21GSOB2010374</w:t>
      </w:r>
    </w:p>
    <w:p>
      <w:pPr>
        <w:pStyle w:val="style0"/>
        <w:spacing w:before="60" w:after="60" w:lineRule="auto" w:line="240"/>
        <w:jc w:val="center"/>
        <w:rPr>
          <w:sz w:val="32"/>
          <w:szCs w:val="32"/>
        </w:rPr>
      </w:pPr>
    </w:p>
    <w:p>
      <w:pPr>
        <w:pStyle w:val="style0"/>
        <w:jc w:val="center"/>
        <w:rPr>
          <w:b/>
          <w:bCs/>
          <w:sz w:val="32"/>
          <w:szCs w:val="32"/>
        </w:rPr>
      </w:pPr>
      <w:r>
        <w:rPr>
          <w:rFonts w:ascii="Times New Roman" w:cs="Times New Roman" w:hAnsi="Times New Roman"/>
          <w:b/>
          <w:bCs/>
          <w:sz w:val="32"/>
          <w:szCs w:val="32"/>
        </w:rPr>
        <w:t xml:space="preserve">UNDER THE GUIDANCE </w:t>
      </w:r>
      <w:r>
        <w:rPr>
          <w:rFonts w:ascii="Times New Roman" w:cs="Times New Roman" w:hAnsi="Times New Roman"/>
          <w:b/>
          <w:bCs/>
          <w:sz w:val="32"/>
          <w:szCs w:val="32"/>
          <w:lang w:val="en-US"/>
        </w:rPr>
        <w:t>OF</w:t>
      </w:r>
    </w:p>
    <w:p>
      <w:pPr>
        <w:pStyle w:val="style0"/>
        <w:jc w:val="center"/>
        <w:rPr>
          <w:b/>
          <w:bCs/>
          <w:sz w:val="32"/>
          <w:szCs w:val="32"/>
        </w:rPr>
      </w:pPr>
      <w:r>
        <w:rPr>
          <w:b/>
          <w:bCs/>
          <w:sz w:val="32"/>
          <w:szCs w:val="32"/>
          <w:lang w:val="en-US"/>
        </w:rPr>
        <w:t>Dr. PRATIKSHA JHA</w:t>
      </w:r>
    </w:p>
    <w:p>
      <w:pPr>
        <w:pStyle w:val="style0"/>
        <w:rPr>
          <w:sz w:val="32"/>
          <w:szCs w:val="32"/>
        </w:rPr>
      </w:pPr>
    </w:p>
    <w:p>
      <w:pPr>
        <w:pStyle w:val="style0"/>
        <w:jc w:val="center"/>
        <w:rPr>
          <w:sz w:val="32"/>
          <w:szCs w:val="32"/>
        </w:rPr>
      </w:pPr>
    </w:p>
    <w:p>
      <w:pPr>
        <w:pStyle w:val="style0"/>
        <w:jc w:val="center"/>
        <w:rPr>
          <w:sz w:val="32"/>
          <w:szCs w:val="32"/>
        </w:rPr>
      </w:pPr>
    </w:p>
    <w:p>
      <w:pPr>
        <w:pStyle w:val="style0"/>
        <w:rPr>
          <w:sz w:val="32"/>
          <w:szCs w:val="32"/>
          <w:lang w:val="en-US"/>
        </w:rPr>
      </w:pPr>
      <w:r>
        <w:rPr>
          <w:sz w:val="32"/>
          <w:szCs w:val="32"/>
          <w:lang w:val="en-US"/>
        </w:rPr>
        <w:t xml:space="preserve">                                                                                                  </w:t>
      </w:r>
    </w:p>
    <w:p>
      <w:pPr>
        <w:pStyle w:val="style0"/>
        <w:rPr>
          <w:sz w:val="32"/>
          <w:szCs w:val="32"/>
        </w:rPr>
      </w:pPr>
      <w:r>
        <w:rPr>
          <w:b/>
          <w:bCs/>
          <w:sz w:val="32"/>
          <w:szCs w:val="32"/>
          <w:lang w:val="en-US"/>
        </w:rPr>
        <w:t xml:space="preserve">   </w:t>
      </w:r>
      <w:r>
        <w:rPr>
          <w:sz w:val="32"/>
          <w:szCs w:val="32"/>
          <w:lang w:val="en-US"/>
        </w:rPr>
        <w:t xml:space="preserve">                                                                                            </w:t>
      </w:r>
    </w:p>
    <w:p>
      <w:pPr>
        <w:pStyle w:val="style0"/>
        <w:jc w:val="center"/>
        <w:rPr>
          <w:sz w:val="32"/>
          <w:szCs w:val="32"/>
        </w:rPr>
      </w:pPr>
    </w:p>
    <w:p>
      <w:pPr>
        <w:pStyle w:val="style0"/>
        <w:jc w:val="center"/>
        <w:rPr>
          <w:sz w:val="32"/>
          <w:szCs w:val="32"/>
        </w:rPr>
      </w:pPr>
    </w:p>
    <w:p>
      <w:pPr>
        <w:pStyle w:val="style0"/>
        <w:spacing w:before="60" w:after="60" w:lineRule="auto" w:line="240"/>
        <w:jc w:val="center"/>
        <w:rPr>
          <w:sz w:val="32"/>
          <w:szCs w:val="32"/>
        </w:rPr>
      </w:pPr>
    </w:p>
    <w:p>
      <w:pPr>
        <w:pStyle w:val="style0"/>
        <w:spacing w:before="60" w:after="60" w:lineRule="auto" w:line="240"/>
        <w:rPr>
          <w:rFonts w:ascii="Times New Roman" w:cs="Times New Roman" w:hAnsi="Times New Roman"/>
          <w:sz w:val="32"/>
          <w:szCs w:val="32"/>
        </w:rPr>
      </w:pPr>
    </w:p>
    <w:p>
      <w:pPr>
        <w:pStyle w:val="style0"/>
        <w:spacing w:before="60" w:after="60" w:lineRule="auto" w:line="240"/>
        <w:jc w:val="center"/>
        <w:rPr>
          <w:sz w:val="32"/>
          <w:szCs w:val="32"/>
        </w:rPr>
      </w:pPr>
      <w:r>
        <w:rPr>
          <w:rFonts w:ascii="Times New Roman" w:cs="Times New Roman" w:hAnsi="Times New Roman"/>
          <w:sz w:val="32"/>
          <w:szCs w:val="32"/>
        </w:rPr>
        <w:t xml:space="preserve">                                                                                                                                        </w:t>
      </w:r>
    </w:p>
    <w:p>
      <w:pPr>
        <w:pStyle w:val="style0"/>
        <w:spacing w:before="60" w:after="60" w:lineRule="auto" w:line="240"/>
        <w:jc w:val="both"/>
        <w:rPr>
          <w:sz w:val="32"/>
          <w:szCs w:val="32"/>
        </w:rPr>
      </w:pPr>
    </w:p>
    <w:p>
      <w:pPr>
        <w:pStyle w:val="style0"/>
        <w:tabs>
          <w:tab w:val="left" w:leader="none" w:pos="2620"/>
        </w:tabs>
        <w:spacing w:before="60" w:after="60" w:lineRule="auto" w:line="240"/>
        <w:jc w:val="both"/>
        <w:rPr>
          <w:sz w:val="32"/>
          <w:szCs w:val="32"/>
        </w:rPr>
      </w:pPr>
      <w:r>
        <w:rPr>
          <w:rFonts w:ascii="Times New Roman" w:cs="Times New Roman" w:hAnsi="Times New Roman"/>
          <w:b/>
          <w:bCs/>
          <w:noProof/>
          <w:color w:val="4f6228"/>
          <w:sz w:val="32"/>
          <w:szCs w:val="32"/>
          <w:lang w:eastAsia="en-IN"/>
        </w:rPr>
        <w:t>Certificate from Faculty Guide</w:t>
      </w:r>
    </w:p>
    <w:p>
      <w:pPr>
        <w:pStyle w:val="style0"/>
        <w:tabs>
          <w:tab w:val="left" w:leader="none" w:pos="2620"/>
        </w:tabs>
        <w:spacing w:before="60" w:after="60" w:lineRule="auto" w:line="240"/>
        <w:jc w:val="both"/>
        <w:rPr>
          <w:sz w:val="32"/>
          <w:szCs w:val="32"/>
        </w:rPr>
      </w:pPr>
      <w:r>
        <w:rPr>
          <w:sz w:val="32"/>
          <w:szCs w:val="32"/>
        </w:rPr>
        <w:tab/>
      </w:r>
    </w:p>
    <w:p>
      <w:pPr>
        <w:pStyle w:val="style0"/>
        <w:rPr>
          <w:sz w:val="32"/>
          <w:szCs w:val="32"/>
        </w:rPr>
      </w:pPr>
      <w:r>
        <w:rPr>
          <w:rFonts w:ascii="Times New Roman" w:cs="Times New Roman" w:hAnsi="Times New Roman"/>
          <w:noProof/>
          <w:sz w:val="32"/>
          <w:szCs w:val="32"/>
          <w:lang w:eastAsia="en-IN"/>
        </w:rPr>
        <w:t>This is to certify that the project rep</w:t>
      </w:r>
      <w:r>
        <w:rPr>
          <w:rFonts w:cs="Times New Roman" w:hAnsi="Times New Roman"/>
          <w:noProof/>
          <w:sz w:val="32"/>
          <w:szCs w:val="32"/>
          <w:lang w:val="en-US" w:eastAsia="en-IN"/>
        </w:rPr>
        <w:t xml:space="preserve">ort on "Impact of NPA on banking sector" </w:t>
      </w:r>
      <w:r>
        <w:rPr>
          <w:rFonts w:ascii="Times New Roman" w:cs="Times New Roman" w:hAnsi="Times New Roman"/>
          <w:noProof/>
          <w:sz w:val="32"/>
          <w:szCs w:val="32"/>
          <w:lang w:eastAsia="en-IN"/>
        </w:rPr>
        <w:t>has b</w:t>
      </w:r>
      <w:r>
        <w:rPr>
          <w:rFonts w:ascii="Times New Roman" w:cs="Times New Roman" w:hAnsi="Times New Roman"/>
          <w:noProof/>
          <w:sz w:val="32"/>
          <w:szCs w:val="32"/>
          <w:lang w:eastAsia="en-IN"/>
        </w:rPr>
        <w:t xml:space="preserve">een prepared by </w:t>
      </w:r>
      <w:r>
        <w:rPr>
          <w:rFonts w:cs="Times New Roman" w:hAnsi="Times New Roman"/>
          <w:noProof/>
          <w:sz w:val="32"/>
          <w:szCs w:val="32"/>
          <w:lang w:val="en-US" w:eastAsia="en-IN"/>
        </w:rPr>
        <w:t>(SALNI KUMARI</w:t>
      </w:r>
      <w:r>
        <w:rPr>
          <w:rFonts w:ascii="Times New Roman" w:cs="Times New Roman" w:hAnsi="Times New Roman"/>
          <w:noProof/>
          <w:sz w:val="32"/>
          <w:szCs w:val="32"/>
          <w:lang w:val="en-US" w:eastAsia="en-IN"/>
        </w:rPr>
        <w:t xml:space="preserve">) </w:t>
      </w:r>
      <w:r>
        <w:rPr>
          <w:rFonts w:ascii="Times New Roman" w:cs="Times New Roman" w:hAnsi="Times New Roman"/>
          <w:noProof/>
          <w:sz w:val="32"/>
          <w:szCs w:val="32"/>
          <w:lang w:eastAsia="en-IN"/>
        </w:rPr>
        <w:t xml:space="preserve">under my supervision and guidance.The project report is submitted towards the partial full fillment of </w:t>
      </w:r>
      <w:r>
        <w:rPr>
          <w:rFonts w:ascii="Times New Roman" w:cs="Times New Roman" w:hAnsi="Times New Roman"/>
          <w:noProof/>
          <w:sz w:val="32"/>
          <w:szCs w:val="32"/>
          <w:lang w:val="en-US" w:eastAsia="en-IN"/>
        </w:rPr>
        <w:t>2</w:t>
      </w:r>
      <w:r>
        <w:rPr>
          <w:rFonts w:ascii="Times New Roman" w:cs="Times New Roman" w:hAnsi="Times New Roman"/>
          <w:noProof/>
          <w:sz w:val="32"/>
          <w:szCs w:val="32"/>
          <w:lang w:eastAsia="en-IN"/>
        </w:rPr>
        <w:t xml:space="preserve"> year, full time </w:t>
      </w:r>
      <w:r>
        <w:rPr>
          <w:rFonts w:ascii="Times New Roman" w:cs="Times New Roman" w:hAnsi="Times New Roman"/>
          <w:noProof/>
          <w:sz w:val="32"/>
          <w:szCs w:val="32"/>
          <w:lang w:val="en-US" w:eastAsia="en-IN"/>
        </w:rPr>
        <w:t xml:space="preserve">Master </w:t>
      </w:r>
      <w:r>
        <w:rPr>
          <w:rFonts w:ascii="Times New Roman" w:cs="Times New Roman" w:hAnsi="Times New Roman"/>
          <w:noProof/>
          <w:sz w:val="32"/>
          <w:szCs w:val="32"/>
          <w:lang w:eastAsia="en-IN"/>
        </w:rPr>
        <w:t>of Business Administration</w:t>
      </w:r>
    </w:p>
    <w:p>
      <w:pPr>
        <w:pStyle w:val="style0"/>
        <w:rPr>
          <w:sz w:val="32"/>
          <w:szCs w:val="32"/>
        </w:rPr>
      </w:pPr>
    </w:p>
    <w:p>
      <w:pPr>
        <w:pStyle w:val="style0"/>
        <w:rPr>
          <w:sz w:val="32"/>
          <w:szCs w:val="32"/>
        </w:rPr>
      </w:pPr>
    </w:p>
    <w:p>
      <w:pPr>
        <w:pStyle w:val="style0"/>
        <w:spacing w:before="60" w:after="60" w:lineRule="auto" w:line="240"/>
        <w:jc w:val="both"/>
        <w:rPr>
          <w:rFonts w:ascii="Times New Roman" w:cs="Times New Roman" w:hAnsi="Times New Roman"/>
          <w:noProof/>
          <w:sz w:val="32"/>
          <w:szCs w:val="32"/>
          <w:lang w:eastAsia="en-IN"/>
        </w:rPr>
      </w:pPr>
      <w:r>
        <w:rPr>
          <w:rFonts w:ascii="Times New Roman" w:cs="Times New Roman" w:hAnsi="Times New Roman"/>
          <w:noProof/>
          <w:sz w:val="32"/>
          <w:szCs w:val="32"/>
          <w:lang w:eastAsia="en-IN"/>
        </w:rPr>
        <w:t xml:space="preserve">Name </w:t>
      </w:r>
      <w:r>
        <w:rPr>
          <w:rFonts w:ascii="Times New Roman" w:cs="Times New Roman" w:hAnsi="Times New Roman"/>
          <w:noProof/>
          <w:sz w:val="32"/>
          <w:szCs w:val="32"/>
          <w:lang w:val="en-US" w:eastAsia="en-IN"/>
        </w:rPr>
        <w:t>of</w:t>
      </w:r>
      <w:r>
        <w:rPr>
          <w:rFonts w:cs="Times New Roman" w:hAnsi="Times New Roman"/>
          <w:noProof/>
          <w:sz w:val="32"/>
          <w:szCs w:val="32"/>
          <w:lang w:val="en-US" w:eastAsia="en-IN"/>
        </w:rPr>
        <w:t xml:space="preserve"> </w:t>
      </w:r>
      <w:r>
        <w:rPr>
          <w:rFonts w:ascii="Times New Roman" w:cs="Times New Roman" w:hAnsi="Times New Roman"/>
          <w:noProof/>
          <w:sz w:val="32"/>
          <w:szCs w:val="32"/>
          <w:lang w:eastAsia="en-IN"/>
        </w:rPr>
        <w:t>Faculty</w:t>
      </w:r>
    </w:p>
    <w:p>
      <w:pPr>
        <w:pStyle w:val="style0"/>
        <w:spacing w:before="60" w:after="60" w:lineRule="auto" w:line="240"/>
        <w:jc w:val="both"/>
        <w:rPr>
          <w:sz w:val="32"/>
          <w:szCs w:val="32"/>
        </w:rPr>
      </w:pPr>
      <w:r>
        <w:rPr>
          <w:sz w:val="32"/>
          <w:szCs w:val="32"/>
          <w:lang w:val="en-US"/>
        </w:rPr>
        <w:t>Dr. PRATIKSHA JHA</w:t>
      </w:r>
    </w:p>
    <w:p>
      <w:pPr>
        <w:pStyle w:val="style0"/>
        <w:jc w:val="both"/>
        <w:rPr>
          <w:sz w:val="32"/>
          <w:szCs w:val="32"/>
        </w:rPr>
      </w:pPr>
    </w:p>
    <w:p>
      <w:pPr>
        <w:pStyle w:val="style0"/>
        <w:jc w:val="both"/>
        <w:rPr>
          <w:sz w:val="32"/>
          <w:szCs w:val="32"/>
        </w:rPr>
      </w:pPr>
    </w:p>
    <w:p>
      <w:pPr>
        <w:pStyle w:val="style0"/>
        <w:jc w:val="both"/>
        <w:rPr>
          <w:sz w:val="32"/>
          <w:szCs w:val="32"/>
        </w:rPr>
      </w:pPr>
    </w:p>
    <w:p>
      <w:pPr>
        <w:pStyle w:val="style0"/>
        <w:spacing w:before="60" w:after="60" w:lineRule="auto" w:line="240"/>
        <w:jc w:val="both"/>
        <w:rPr>
          <w:sz w:val="32"/>
          <w:szCs w:val="32"/>
        </w:rPr>
      </w:pPr>
    </w:p>
    <w:p>
      <w:pPr>
        <w:pStyle w:val="style0"/>
        <w:spacing w:before="60" w:after="60" w:lineRule="auto" w:line="240"/>
        <w:jc w:val="both"/>
        <w:rPr>
          <w:sz w:val="32"/>
          <w:szCs w:val="32"/>
        </w:rPr>
      </w:pPr>
    </w:p>
    <w:p>
      <w:pPr>
        <w:pStyle w:val="style0"/>
        <w:spacing w:before="60" w:after="60" w:lineRule="auto" w:line="240"/>
        <w:jc w:val="both"/>
        <w:rPr>
          <w:sz w:val="32"/>
          <w:szCs w:val="32"/>
        </w:rPr>
      </w:pPr>
    </w:p>
    <w:p>
      <w:pPr>
        <w:pStyle w:val="style0"/>
        <w:rPr>
          <w:sz w:val="32"/>
          <w:szCs w:val="32"/>
          <w:highlight w:val="yellow"/>
          <w:vertAlign w:val="superscript"/>
          <w:lang w:val="en-US"/>
        </w:rPr>
      </w:pPr>
      <w:r>
        <w:rPr>
          <w:sz w:val="32"/>
          <w:szCs w:val="32"/>
          <w:highlight w:val="yellow"/>
          <w:vertAlign w:val="superscript"/>
          <w:lang w:val="en-US"/>
        </w:rPr>
        <w:br w:type="page"/>
      </w:r>
      <w:r>
        <w:rPr>
          <w:sz w:val="32"/>
          <w:szCs w:val="32"/>
          <w:highlight w:val="yellow"/>
          <w:vertAlign w:val="superscript"/>
          <w:lang w:val="en-US"/>
        </w:rPr>
        <w:t xml:space="preserve"> </w:t>
      </w:r>
    </w:p>
    <w:p>
      <w:pPr>
        <w:pStyle w:val="style0"/>
        <w:rPr>
          <w:sz w:val="32"/>
          <w:szCs w:val="32"/>
          <w:highlight w:val="yellow"/>
          <w:vertAlign w:val="superscript"/>
        </w:rPr>
      </w:pPr>
    </w:p>
    <w:p>
      <w:pPr>
        <w:pStyle w:val="style0"/>
        <w:spacing w:before="60" w:after="60" w:lineRule="auto" w:line="240"/>
        <w:jc w:val="both"/>
        <w:rPr>
          <w:sz w:val="32"/>
          <w:szCs w:val="32"/>
        </w:rPr>
      </w:pPr>
      <w:r>
        <w:rPr>
          <w:rFonts w:ascii="Times New Roman" w:cs="Times New Roman" w:hAnsi="Times New Roman"/>
          <w:noProof/>
          <w:sz w:val="32"/>
          <w:szCs w:val="32"/>
          <w:lang w:val="en-US" w:eastAsia="en-IN"/>
        </w:rPr>
        <w:t xml:space="preserve">                   </w:t>
      </w:r>
      <w:r>
        <w:rPr>
          <w:rFonts w:ascii="Times New Roman" w:cs="Times New Roman" w:hAnsi="Times New Roman"/>
          <w:noProof/>
          <w:sz w:val="32"/>
          <w:szCs w:val="32"/>
          <w:lang w:val="en-US" w:eastAsia="en-IN"/>
        </w:rPr>
        <w:t xml:space="preserve">         </w:t>
      </w:r>
      <w:r>
        <w:rPr>
          <w:rFonts w:ascii="Times New Roman" w:cs="Times New Roman" w:hAnsi="Times New Roman"/>
          <w:noProof/>
          <w:sz w:val="32"/>
          <w:szCs w:val="32"/>
          <w:lang w:eastAsia="en-IN"/>
        </w:rPr>
        <w:t>Declaration</w:t>
      </w:r>
    </w:p>
    <w:p>
      <w:pPr>
        <w:pStyle w:val="style0"/>
        <w:spacing w:before="60" w:after="60" w:lineRule="auto" w:line="240"/>
        <w:jc w:val="center"/>
        <w:rPr>
          <w:sz w:val="32"/>
          <w:szCs w:val="32"/>
        </w:rPr>
      </w:pPr>
    </w:p>
    <w:p>
      <w:pPr>
        <w:pStyle w:val="style0"/>
        <w:spacing w:before="60" w:after="60" w:lineRule="auto" w:line="240"/>
        <w:jc w:val="both"/>
        <w:rPr>
          <w:sz w:val="32"/>
          <w:szCs w:val="32"/>
        </w:rPr>
      </w:pPr>
      <w:r>
        <w:rPr>
          <w:rFonts w:ascii="Times New Roman" w:cs="Times New Roman" w:hAnsi="Times New Roman"/>
          <w:noProof/>
          <w:sz w:val="32"/>
          <w:szCs w:val="32"/>
          <w:lang w:eastAsia="en-IN"/>
        </w:rPr>
        <w:t>I</w:t>
      </w:r>
      <w:r>
        <w:rPr>
          <w:rFonts w:ascii="Times New Roman" w:cs="Times New Roman" w:hAnsi="Times New Roman"/>
          <w:noProof/>
          <w:sz w:val="32"/>
          <w:szCs w:val="32"/>
          <w:lang w:val="en-US" w:eastAsia="en-IN"/>
        </w:rPr>
        <w:t xml:space="preserve"> </w:t>
      </w:r>
      <w:r>
        <w:rPr>
          <w:rFonts w:cs="Times New Roman" w:hAnsi="Times New Roman"/>
          <w:noProof/>
          <w:sz w:val="32"/>
          <w:szCs w:val="32"/>
          <w:lang w:val="en-US" w:eastAsia="en-IN"/>
        </w:rPr>
        <w:t>(SALNI KUMARI</w:t>
      </w:r>
      <w:r>
        <w:rPr>
          <w:rFonts w:ascii="Times New Roman" w:cs="Times New Roman" w:hAnsi="Times New Roman"/>
          <w:noProof/>
          <w:sz w:val="32"/>
          <w:szCs w:val="32"/>
          <w:lang w:val="en-US" w:eastAsia="en-IN"/>
        </w:rPr>
        <w:t xml:space="preserve"> </w:t>
      </w:r>
      <w:r>
        <w:rPr>
          <w:rFonts w:cs="Times New Roman" w:hAnsi="Times New Roman"/>
          <w:noProof/>
          <w:sz w:val="32"/>
          <w:szCs w:val="32"/>
          <w:lang w:val="en-US" w:eastAsia="en-IN"/>
        </w:rPr>
        <w:t>)</w:t>
      </w:r>
      <w:r>
        <w:rPr>
          <w:rFonts w:ascii="Times New Roman" w:cs="Times New Roman" w:hAnsi="Times New Roman"/>
          <w:noProof/>
          <w:sz w:val="32"/>
          <w:szCs w:val="32"/>
          <w:lang w:eastAsia="en-IN"/>
        </w:rPr>
        <w:t xml:space="preserve">student of </w:t>
      </w:r>
      <w:r>
        <w:rPr>
          <w:rFonts w:ascii="Times New Roman" w:cs="Times New Roman" w:hAnsi="Times New Roman"/>
          <w:noProof/>
          <w:sz w:val="32"/>
          <w:szCs w:val="32"/>
          <w:lang w:val="en-US" w:eastAsia="en-IN"/>
        </w:rPr>
        <w:t xml:space="preserve">MBA </w:t>
      </w:r>
      <w:r>
        <w:rPr>
          <w:rFonts w:ascii="Times New Roman" w:cs="Times New Roman" w:hAnsi="Times New Roman"/>
          <w:noProof/>
          <w:sz w:val="32"/>
          <w:szCs w:val="32"/>
          <w:lang w:eastAsia="en-IN"/>
        </w:rPr>
        <w:t xml:space="preserve">of School of Business, Galgotias University, Greater Noida, hereby declare that the project report on </w:t>
      </w:r>
      <w:r>
        <w:rPr>
          <w:rFonts w:ascii="Times New Roman" w:cs="Times New Roman" w:hAnsi="Times New Roman"/>
          <w:noProof/>
          <w:sz w:val="32"/>
          <w:szCs w:val="32"/>
          <w:lang w:val="en-US" w:eastAsia="en-IN"/>
        </w:rPr>
        <w:t xml:space="preserve">Effect of NPA on banking sector has done by Myself. </w:t>
      </w:r>
    </w:p>
    <w:p>
      <w:pPr>
        <w:pStyle w:val="style0"/>
        <w:spacing w:before="60" w:after="60" w:lineRule="auto" w:line="240"/>
        <w:jc w:val="both"/>
        <w:rPr>
          <w:sz w:val="32"/>
          <w:szCs w:val="32"/>
        </w:rPr>
      </w:pPr>
    </w:p>
    <w:p>
      <w:pPr>
        <w:pStyle w:val="style0"/>
        <w:spacing w:before="60" w:after="60" w:lineRule="auto" w:line="240"/>
        <w:rPr>
          <w:sz w:val="32"/>
          <w:szCs w:val="32"/>
        </w:rPr>
      </w:pPr>
    </w:p>
    <w:p>
      <w:pPr>
        <w:pStyle w:val="style0"/>
        <w:spacing w:before="60" w:after="60" w:lineRule="auto" w:line="240"/>
        <w:rPr>
          <w:rFonts w:ascii="Times New Roman" w:cs="Times New Roman" w:hAnsi="Times New Roman"/>
          <w:noProof/>
          <w:sz w:val="32"/>
          <w:szCs w:val="32"/>
          <w:lang w:eastAsia="en-IN"/>
        </w:rPr>
      </w:pPr>
      <w:r>
        <w:rPr>
          <w:rFonts w:ascii="Times New Roman" w:cs="Times New Roman" w:hAnsi="Times New Roman"/>
          <w:noProof/>
          <w:sz w:val="32"/>
          <w:szCs w:val="32"/>
          <w:lang w:eastAsia="en-IN"/>
        </w:rPr>
        <w:t>Name of the Student</w:t>
      </w:r>
    </w:p>
    <w:p>
      <w:pPr>
        <w:pStyle w:val="style0"/>
        <w:spacing w:before="60" w:after="60" w:lineRule="auto" w:line="240"/>
        <w:rPr>
          <w:rFonts w:ascii="Times New Roman" w:cs="Times New Roman" w:hAnsi="Times New Roman"/>
          <w:noProof/>
          <w:sz w:val="32"/>
          <w:szCs w:val="32"/>
          <w:lang w:val="en-US" w:eastAsia="en-IN"/>
        </w:rPr>
      </w:pPr>
      <w:r>
        <w:rPr>
          <w:rFonts w:ascii="Times New Roman" w:cs="Times New Roman" w:hAnsi="Times New Roman"/>
          <w:noProof/>
          <w:sz w:val="32"/>
          <w:szCs w:val="32"/>
          <w:lang w:val="en-US" w:eastAsia="en-IN"/>
        </w:rPr>
        <w:t>SALNI KUMARI</w:t>
      </w:r>
    </w:p>
    <w:p>
      <w:pPr>
        <w:pStyle w:val="style0"/>
        <w:spacing w:before="60" w:after="60" w:lineRule="auto" w:line="240"/>
        <w:rPr>
          <w:b/>
          <w:bCs/>
          <w:color w:val="36363d"/>
          <w:sz w:val="48"/>
          <w:szCs w:val="48"/>
          <w:vertAlign w:val="superscript"/>
        </w:rPr>
      </w:pPr>
      <w:r>
        <w:rPr>
          <w:b/>
          <w:bCs/>
          <w:color w:val="36363d"/>
          <w:sz w:val="48"/>
          <w:szCs w:val="48"/>
          <w:vertAlign w:val="superscript"/>
          <w:lang w:val="en-US"/>
        </w:rPr>
        <w:t>21042010494</w:t>
      </w:r>
    </w:p>
    <w:p>
      <w:pPr>
        <w:pStyle w:val="style0"/>
        <w:spacing w:before="60" w:after="60" w:lineRule="auto" w:line="240"/>
        <w:rPr>
          <w:color w:val="36363d"/>
          <w:sz w:val="32"/>
          <w:szCs w:val="32"/>
          <w:vertAlign w:val="superscript"/>
        </w:rPr>
      </w:pPr>
    </w:p>
    <w:p>
      <w:pPr>
        <w:pStyle w:val="style0"/>
        <w:spacing w:before="60" w:after="60" w:lineRule="auto" w:line="240"/>
        <w:rPr>
          <w:color w:val="36363d"/>
          <w:sz w:val="32"/>
          <w:szCs w:val="32"/>
          <w:vertAlign w:val="superscript"/>
        </w:rPr>
      </w:pPr>
    </w:p>
    <w:p>
      <w:pPr>
        <w:pStyle w:val="style0"/>
        <w:spacing w:before="60" w:after="60" w:lineRule="auto" w:line="240"/>
        <w:rPr>
          <w:color w:val="36363d"/>
          <w:sz w:val="32"/>
          <w:szCs w:val="32"/>
          <w:vertAlign w:val="superscript"/>
        </w:rPr>
      </w:pPr>
    </w:p>
    <w:p>
      <w:pPr>
        <w:pStyle w:val="style0"/>
        <w:spacing w:before="60" w:after="60" w:lineRule="auto" w:line="240"/>
        <w:rPr>
          <w:color w:val="36363d"/>
          <w:sz w:val="32"/>
          <w:szCs w:val="32"/>
          <w:vertAlign w:val="superscript"/>
        </w:rPr>
      </w:pPr>
    </w:p>
    <w:p>
      <w:pPr>
        <w:pStyle w:val="style0"/>
        <w:spacing w:before="60" w:after="60" w:lineRule="auto" w:line="240"/>
        <w:rPr>
          <w:color w:val="36363d"/>
          <w:sz w:val="32"/>
          <w:szCs w:val="32"/>
          <w:vertAlign w:val="superscript"/>
        </w:rPr>
      </w:pPr>
    </w:p>
    <w:p>
      <w:pPr>
        <w:pStyle w:val="style0"/>
        <w:spacing w:before="60" w:after="60" w:lineRule="auto" w:line="240"/>
        <w:rPr>
          <w:color w:val="36363d"/>
          <w:sz w:val="32"/>
          <w:szCs w:val="32"/>
          <w:vertAlign w:val="superscript"/>
        </w:rPr>
      </w:pPr>
    </w:p>
    <w:p>
      <w:pPr>
        <w:pStyle w:val="style0"/>
        <w:spacing w:before="60" w:after="60" w:lineRule="auto" w:line="240"/>
        <w:rPr>
          <w:color w:val="36363d"/>
          <w:sz w:val="32"/>
          <w:szCs w:val="32"/>
          <w:vertAlign w:val="superscript"/>
        </w:rPr>
      </w:pPr>
    </w:p>
    <w:p>
      <w:pPr>
        <w:pStyle w:val="style0"/>
        <w:spacing w:before="60" w:after="60" w:lineRule="auto" w:line="240"/>
        <w:rPr>
          <w:color w:val="36363d"/>
          <w:sz w:val="32"/>
          <w:szCs w:val="32"/>
          <w:vertAlign w:val="superscript"/>
        </w:rPr>
      </w:pPr>
    </w:p>
    <w:p>
      <w:pPr>
        <w:pStyle w:val="style0"/>
        <w:spacing w:before="60" w:after="60" w:lineRule="auto" w:line="240"/>
        <w:rPr>
          <w:color w:val="36363d"/>
          <w:sz w:val="32"/>
          <w:szCs w:val="32"/>
          <w:vertAlign w:val="superscript"/>
        </w:rPr>
      </w:pPr>
    </w:p>
    <w:p>
      <w:pPr>
        <w:pStyle w:val="style0"/>
        <w:spacing w:before="60" w:after="60" w:lineRule="auto" w:line="240"/>
        <w:rPr>
          <w:color w:val="36363d"/>
          <w:sz w:val="32"/>
          <w:szCs w:val="32"/>
          <w:vertAlign w:val="superscript"/>
        </w:rPr>
      </w:pPr>
    </w:p>
    <w:p>
      <w:pPr>
        <w:pStyle w:val="style0"/>
        <w:spacing w:before="60" w:after="60" w:lineRule="auto" w:line="240"/>
        <w:rPr>
          <w:color w:val="36363d"/>
          <w:sz w:val="32"/>
          <w:szCs w:val="32"/>
          <w:vertAlign w:val="superscript"/>
        </w:rPr>
      </w:pPr>
    </w:p>
    <w:p>
      <w:pPr>
        <w:pStyle w:val="style0"/>
        <w:spacing w:before="60" w:after="60" w:lineRule="auto" w:line="240"/>
        <w:rPr>
          <w:color w:val="36363d"/>
          <w:sz w:val="32"/>
          <w:szCs w:val="32"/>
          <w:vertAlign w:val="superscript"/>
        </w:rPr>
      </w:pPr>
    </w:p>
    <w:p>
      <w:pPr>
        <w:pStyle w:val="style0"/>
        <w:spacing w:before="60" w:after="60" w:lineRule="auto" w:line="240"/>
        <w:rPr>
          <w:color w:val="36363d"/>
          <w:sz w:val="32"/>
          <w:szCs w:val="32"/>
          <w:vertAlign w:val="superscript"/>
        </w:rPr>
      </w:pPr>
    </w:p>
    <w:p>
      <w:pPr>
        <w:pStyle w:val="style0"/>
        <w:spacing w:before="60" w:after="60" w:lineRule="auto" w:line="240"/>
        <w:rPr>
          <w:color w:val="36363d"/>
          <w:sz w:val="32"/>
          <w:szCs w:val="32"/>
          <w:vertAlign w:val="superscript"/>
        </w:rPr>
      </w:pPr>
    </w:p>
    <w:p>
      <w:pPr>
        <w:pStyle w:val="style0"/>
        <w:spacing w:before="60" w:after="60" w:lineRule="auto" w:line="240"/>
        <w:rPr>
          <w:color w:val="36363d"/>
          <w:sz w:val="32"/>
          <w:szCs w:val="32"/>
          <w:vertAlign w:val="superscript"/>
        </w:rPr>
      </w:pPr>
    </w:p>
    <w:p>
      <w:pPr>
        <w:pStyle w:val="style0"/>
        <w:spacing w:before="60" w:after="60" w:lineRule="auto" w:line="240"/>
        <w:rPr>
          <w:color w:val="36363d"/>
          <w:sz w:val="32"/>
          <w:szCs w:val="32"/>
          <w:vertAlign w:val="superscript"/>
        </w:rPr>
      </w:pPr>
    </w:p>
    <w:p>
      <w:pPr>
        <w:pStyle w:val="style0"/>
        <w:spacing w:before="60" w:after="60" w:lineRule="auto" w:line="240"/>
        <w:rPr>
          <w:color w:val="36363d"/>
          <w:sz w:val="32"/>
          <w:szCs w:val="32"/>
          <w:vertAlign w:val="superscript"/>
        </w:rPr>
      </w:pPr>
    </w:p>
    <w:p>
      <w:pPr>
        <w:pStyle w:val="style0"/>
        <w:spacing w:before="60" w:after="60" w:lineRule="auto" w:line="240"/>
        <w:rPr>
          <w:color w:val="36363d"/>
          <w:sz w:val="32"/>
          <w:szCs w:val="32"/>
          <w:vertAlign w:val="superscript"/>
        </w:rPr>
      </w:pPr>
    </w:p>
    <w:p>
      <w:pPr>
        <w:pStyle w:val="style0"/>
        <w:spacing w:before="60" w:after="60" w:lineRule="auto" w:line="240"/>
        <w:rPr>
          <w:color w:val="36363d"/>
          <w:sz w:val="32"/>
          <w:szCs w:val="32"/>
          <w:vertAlign w:val="superscript"/>
        </w:rPr>
      </w:pPr>
    </w:p>
    <w:p>
      <w:pPr>
        <w:pStyle w:val="style0"/>
        <w:spacing w:before="60" w:after="60" w:lineRule="auto" w:line="240"/>
        <w:rPr>
          <w:color w:val="36363d"/>
          <w:sz w:val="32"/>
          <w:szCs w:val="32"/>
          <w:vertAlign w:val="superscript"/>
        </w:rPr>
      </w:pPr>
    </w:p>
    <w:p>
      <w:pPr>
        <w:pStyle w:val="style0"/>
        <w:spacing w:before="60" w:after="60" w:lineRule="auto" w:line="240"/>
        <w:rPr>
          <w:color w:val="36363d"/>
          <w:sz w:val="32"/>
          <w:szCs w:val="32"/>
          <w:vertAlign w:val="superscript"/>
        </w:rPr>
      </w:pPr>
    </w:p>
    <w:p>
      <w:pPr>
        <w:pStyle w:val="style0"/>
        <w:spacing w:before="60" w:after="60" w:lineRule="auto" w:line="240"/>
        <w:rPr>
          <w:color w:val="36363d"/>
          <w:sz w:val="56"/>
          <w:szCs w:val="56"/>
          <w:vertAlign w:val="superscript"/>
        </w:rPr>
      </w:pPr>
      <w:r>
        <w:rPr>
          <w:rFonts w:ascii="Times New Roman" w:cs="Times New Roman" w:hAnsi="Times New Roman"/>
          <w:noProof/>
          <w:color w:val="36363d"/>
          <w:sz w:val="32"/>
          <w:szCs w:val="32"/>
          <w:vertAlign w:val="superscript"/>
          <w:lang w:val="en-US" w:eastAsia="en-IN"/>
        </w:rPr>
        <w:t xml:space="preserve">                                                                              </w:t>
      </w:r>
      <w:r>
        <w:rPr>
          <w:rFonts w:ascii="Times New Roman" w:cs="Times New Roman" w:hAnsi="Times New Roman"/>
          <w:b/>
          <w:bCs/>
          <w:noProof/>
          <w:color w:val="36363d"/>
          <w:sz w:val="56"/>
          <w:szCs w:val="56"/>
          <w:vertAlign w:val="superscript"/>
          <w:lang w:val="en-US" w:eastAsia="en-IN"/>
        </w:rPr>
        <w:t>ABSTRACT</w:t>
      </w: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jc w:val="both"/>
        <w:rPr>
          <w:b/>
          <w:bCs/>
          <w:color w:val="36363d"/>
          <w:sz w:val="44"/>
          <w:szCs w:val="44"/>
          <w:vertAlign w:val="superscript"/>
        </w:rPr>
      </w:pPr>
      <w:r>
        <w:rPr>
          <w:rFonts w:ascii="Times New Roman" w:cs="Times New Roman" w:hAnsi="Times New Roman"/>
          <w:b/>
          <w:bCs/>
          <w:noProof/>
          <w:color w:val="36363d"/>
          <w:sz w:val="44"/>
          <w:szCs w:val="44"/>
          <w:vertAlign w:val="superscript"/>
          <w:lang w:val="en-US" w:eastAsia="en-IN"/>
        </w:rPr>
        <w:t xml:space="preserve">Commercial banks play a major role in fostering economic development of a particular country. Financial performance of banking </w:t>
      </w:r>
      <w:r>
        <w:rPr>
          <w:rFonts w:ascii="Times New Roman" w:cs="Times New Roman" w:hAnsi="Times New Roman"/>
          <w:b/>
          <w:bCs/>
          <w:noProof/>
          <w:color w:val="36363d"/>
          <w:sz w:val="44"/>
          <w:szCs w:val="44"/>
          <w:vertAlign w:val="superscript"/>
          <w:lang w:val="en-US" w:eastAsia="en-IN"/>
        </w:rPr>
        <w:t>sector has been showing a declining trend owing to rise in NPA. A high level of NPAs suggests high probability of a large number of credit defaults that affect the profitability and net-worth of banks and also erodes the value of the asset. NPAs affect the</w:t>
      </w:r>
      <w:r>
        <w:rPr>
          <w:rFonts w:ascii="Times New Roman" w:cs="Times New Roman" w:hAnsi="Times New Roman"/>
          <w:b/>
          <w:bCs/>
          <w:noProof/>
          <w:color w:val="36363d"/>
          <w:sz w:val="44"/>
          <w:szCs w:val="44"/>
          <w:vertAlign w:val="superscript"/>
          <w:lang w:val="en-US" w:eastAsia="en-IN"/>
        </w:rPr>
        <w:t xml:space="preserve"> liquidity and profitability, in addition to posing threat on quality of asset and survival of banks. The Indian banking sector has been facing serious problems of raising Non-Performing Assets. The problem of NPAs is not only affecting the banks but also </w:t>
      </w:r>
      <w:r>
        <w:rPr>
          <w:rFonts w:ascii="Times New Roman" w:cs="Times New Roman" w:hAnsi="Times New Roman"/>
          <w:b/>
          <w:bCs/>
          <w:noProof/>
          <w:color w:val="36363d"/>
          <w:sz w:val="44"/>
          <w:szCs w:val="44"/>
          <w:vertAlign w:val="superscript"/>
          <w:lang w:val="en-US" w:eastAsia="en-IN"/>
        </w:rPr>
        <w:t>the whole economy. It is necessary to trim down NPAs to improve the financial health in the banking system. The outcome of the study is beneficial to the banking industry to check the impact of NPA on their profitability and take corrective measures it can</w:t>
      </w:r>
      <w:r>
        <w:rPr>
          <w:rFonts w:ascii="Times New Roman" w:cs="Times New Roman" w:hAnsi="Times New Roman"/>
          <w:b/>
          <w:bCs/>
          <w:noProof/>
          <w:color w:val="36363d"/>
          <w:sz w:val="44"/>
          <w:szCs w:val="44"/>
          <w:vertAlign w:val="superscript"/>
          <w:lang w:val="en-US" w:eastAsia="en-IN"/>
        </w:rPr>
        <w:t xml:space="preserve"> be minimized.</w:t>
      </w: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r>
        <w:rPr>
          <w:rFonts w:ascii="Times New Roman" w:cs="Times New Roman" w:hAnsi="Times New Roman"/>
          <w:b/>
          <w:bCs/>
          <w:noProof/>
          <w:color w:val="36363d"/>
          <w:sz w:val="32"/>
          <w:szCs w:val="32"/>
          <w:vertAlign w:val="superscript"/>
          <w:lang w:val="en-US" w:eastAsia="en-IN"/>
        </w:rPr>
        <w:t xml:space="preserve">                                                       </w:t>
      </w:r>
      <w:r>
        <w:rPr>
          <w:rFonts w:ascii="Times New Roman" w:cs="Times New Roman" w:hAnsi="Times New Roman"/>
          <w:b/>
          <w:bCs/>
          <w:noProof/>
          <w:color w:val="36363d"/>
          <w:sz w:val="48"/>
          <w:szCs w:val="48"/>
          <w:vertAlign w:val="superscript"/>
          <w:lang w:val="en-US" w:eastAsia="en-IN"/>
        </w:rPr>
        <w:t>INTRODUCTION</w:t>
      </w:r>
      <w:r>
        <w:rPr>
          <w:rFonts w:ascii="Times New Roman" w:cs="Times New Roman" w:hAnsi="Times New Roman"/>
          <w:b/>
          <w:bCs/>
          <w:noProof/>
          <w:color w:val="36363d"/>
          <w:sz w:val="32"/>
          <w:szCs w:val="32"/>
          <w:vertAlign w:val="superscript"/>
          <w:lang w:val="en-US" w:eastAsia="en-IN"/>
        </w:rPr>
        <w:cr/>
      </w:r>
    </w:p>
    <w:p>
      <w:pPr>
        <w:pStyle w:val="style0"/>
        <w:spacing w:before="60" w:after="60" w:lineRule="auto" w:line="240"/>
        <w:jc w:val="both"/>
        <w:rPr>
          <w:b/>
          <w:bCs/>
          <w:color w:val="36363d"/>
          <w:sz w:val="44"/>
          <w:szCs w:val="44"/>
          <w:vertAlign w:val="superscript"/>
        </w:rPr>
      </w:pPr>
      <w:r>
        <w:rPr>
          <w:rFonts w:ascii="Times New Roman" w:cs="Times New Roman" w:hAnsi="Times New Roman"/>
          <w:b/>
          <w:bCs/>
          <w:noProof/>
          <w:color w:val="36363d"/>
          <w:sz w:val="44"/>
          <w:szCs w:val="44"/>
          <w:vertAlign w:val="superscript"/>
          <w:lang w:val="en-US" w:eastAsia="en-IN"/>
        </w:rPr>
        <w:t xml:space="preserve">The banking system has a very important place in the economic life of a country. The strength of the economy is closely linked to the robustness of the </w:t>
      </w:r>
      <w:r>
        <w:rPr>
          <w:rFonts w:ascii="Times New Roman" w:cs="Times New Roman" w:hAnsi="Times New Roman"/>
          <w:b/>
          <w:bCs/>
          <w:noProof/>
          <w:color w:val="36363d"/>
          <w:sz w:val="44"/>
          <w:szCs w:val="44"/>
          <w:vertAlign w:val="superscript"/>
          <w:lang w:val="en-US" w:eastAsia="en-IN"/>
        </w:rPr>
        <w:t>banking system and to a well-</w:t>
      </w:r>
      <w:r>
        <w:rPr>
          <w:rFonts w:ascii="Times New Roman" w:cs="Times New Roman" w:hAnsi="Times New Roman"/>
          <w:b/>
          <w:bCs/>
          <w:noProof/>
          <w:color w:val="36363d"/>
          <w:sz w:val="44"/>
          <w:szCs w:val="44"/>
          <w:vertAlign w:val="superscript"/>
          <w:lang w:val="en-US" w:eastAsia="en-IN"/>
        </w:rPr>
        <w:t>structured banking sector. The Indian banking sector underwent several changes in the  liberalization process. However, a troubled crisis affecting the banking sector, the Non-Performing Assets (NPA). Non Performing Assets als</w:t>
      </w:r>
      <w:r>
        <w:rPr>
          <w:rFonts w:ascii="Times New Roman" w:cs="Times New Roman" w:hAnsi="Times New Roman"/>
          <w:b/>
          <w:bCs/>
          <w:noProof/>
          <w:color w:val="36363d"/>
          <w:sz w:val="44"/>
          <w:szCs w:val="44"/>
          <w:vertAlign w:val="superscript"/>
          <w:lang w:val="en-US" w:eastAsia="en-IN"/>
        </w:rPr>
        <w:t xml:space="preserve">o affect the profitability and efficiency of </w:t>
      </w:r>
      <w:r>
        <w:rPr>
          <w:rFonts w:ascii="Times New Roman" w:cs="Times New Roman" w:hAnsi="Times New Roman"/>
          <w:b/>
          <w:bCs/>
          <w:noProof/>
          <w:color w:val="36363d"/>
          <w:sz w:val="44"/>
          <w:szCs w:val="44"/>
          <w:vertAlign w:val="superscript"/>
          <w:lang w:val="en-US" w:eastAsia="en-IN"/>
        </w:rPr>
        <w:t xml:space="preserve">the banks, thus bringing no new income to the bank. A bank gives out money upfront and earns  income over a time on the promise of a borrower to repay. When loans are not repaid, the bank </w:t>
      </w:r>
      <w:r>
        <w:rPr>
          <w:rFonts w:ascii="Times New Roman" w:cs="Times New Roman" w:hAnsi="Times New Roman"/>
          <w:b/>
          <w:bCs/>
          <w:noProof/>
          <w:color w:val="36363d"/>
          <w:sz w:val="44"/>
          <w:szCs w:val="44"/>
          <w:vertAlign w:val="superscript"/>
          <w:lang w:val="en-US" w:eastAsia="en-IN"/>
        </w:rPr>
        <w:t>loses both its income</w:t>
      </w:r>
      <w:r>
        <w:rPr>
          <w:rFonts w:ascii="Times New Roman" w:cs="Times New Roman" w:hAnsi="Times New Roman"/>
          <w:b/>
          <w:bCs/>
          <w:noProof/>
          <w:color w:val="36363d"/>
          <w:sz w:val="44"/>
          <w:szCs w:val="44"/>
          <w:vertAlign w:val="superscript"/>
          <w:lang w:val="en-US" w:eastAsia="en-IN"/>
        </w:rPr>
        <w:t xml:space="preserve"> stream, as well as its capital. Lending is always accompanied by the credit risk arising out of the borrower‟s default in repaying the money. The major problem today faced by the entire banking sector is the increasing risk of non-performing assets, which</w:t>
      </w:r>
      <w:r>
        <w:rPr>
          <w:rFonts w:ascii="Times New Roman" w:cs="Times New Roman" w:hAnsi="Times New Roman"/>
          <w:b/>
          <w:bCs/>
          <w:noProof/>
          <w:color w:val="36363d"/>
          <w:sz w:val="44"/>
          <w:szCs w:val="44"/>
          <w:vertAlign w:val="superscript"/>
          <w:lang w:val="en-US" w:eastAsia="en-IN"/>
        </w:rPr>
        <w:t xml:space="preserve"> poses challenge to their ultimate survival.</w:t>
      </w:r>
      <w:r>
        <w:rPr>
          <w:rFonts w:ascii="Times New Roman" w:cs="Times New Roman" w:hAnsi="Times New Roman"/>
          <w:b/>
          <w:bCs/>
          <w:noProof/>
          <w:color w:val="36363d"/>
          <w:sz w:val="44"/>
          <w:szCs w:val="44"/>
          <w:vertAlign w:val="superscript"/>
          <w:lang w:val="en-US" w:eastAsia="en-IN"/>
        </w:rPr>
        <w:cr/>
      </w:r>
    </w:p>
    <w:p>
      <w:pPr>
        <w:pStyle w:val="style0"/>
        <w:spacing w:before="60" w:after="60" w:lineRule="auto" w:line="240"/>
        <w:rPr>
          <w:b/>
          <w:bCs/>
          <w:color w:val="36363d"/>
          <w:sz w:val="44"/>
          <w:szCs w:val="44"/>
          <w:vertAlign w:val="superscript"/>
        </w:rPr>
      </w:pPr>
    </w:p>
    <w:p>
      <w:pPr>
        <w:pStyle w:val="style0"/>
        <w:spacing w:before="60" w:after="60" w:lineRule="auto" w:line="240"/>
        <w:rPr>
          <w:b/>
          <w:bCs/>
          <w:color w:val="36363d"/>
          <w:sz w:val="44"/>
          <w:szCs w:val="44"/>
          <w:vertAlign w:val="superscript"/>
        </w:rPr>
      </w:pPr>
    </w:p>
    <w:p>
      <w:pPr>
        <w:pStyle w:val="style0"/>
        <w:spacing w:before="60" w:after="60" w:lineRule="auto" w:line="240"/>
        <w:rPr>
          <w:b/>
          <w:bCs/>
          <w:color w:val="36363d"/>
          <w:sz w:val="44"/>
          <w:szCs w:val="44"/>
          <w:vertAlign w:val="superscript"/>
        </w:rPr>
      </w:pPr>
    </w:p>
    <w:p>
      <w:pPr>
        <w:pStyle w:val="style0"/>
        <w:spacing w:before="60" w:after="60" w:lineRule="auto" w:line="240"/>
        <w:rPr>
          <w:b/>
          <w:bCs/>
          <w:color w:val="36363d"/>
          <w:sz w:val="44"/>
          <w:szCs w:val="44"/>
          <w:vertAlign w:val="superscript"/>
        </w:rPr>
      </w:pPr>
    </w:p>
    <w:p>
      <w:pPr>
        <w:pStyle w:val="style0"/>
        <w:spacing w:before="60" w:after="60" w:lineRule="auto" w:line="240"/>
        <w:rPr>
          <w:b/>
          <w:bCs/>
          <w:color w:val="36363d"/>
          <w:sz w:val="44"/>
          <w:szCs w:val="44"/>
          <w:vertAlign w:val="superscript"/>
        </w:rPr>
      </w:pPr>
    </w:p>
    <w:p>
      <w:pPr>
        <w:pStyle w:val="style0"/>
        <w:spacing w:before="60" w:after="60" w:lineRule="auto" w:line="240"/>
        <w:rPr>
          <w:rFonts w:ascii="Times New Roman" w:cs="Times New Roman" w:hAnsi="Times New Roman"/>
          <w:b/>
          <w:bCs/>
          <w:noProof/>
          <w:color w:val="36363d"/>
          <w:sz w:val="44"/>
          <w:szCs w:val="44"/>
          <w:vertAlign w:val="superscript"/>
          <w:lang w:val="en-US" w:eastAsia="en-IN"/>
        </w:rPr>
      </w:pPr>
    </w:p>
    <w:p>
      <w:pPr>
        <w:pStyle w:val="style0"/>
        <w:spacing w:before="60" w:after="60" w:lineRule="auto" w:line="240"/>
        <w:rPr>
          <w:rFonts w:ascii="Times New Roman" w:cs="Times New Roman" w:hAnsi="Times New Roman"/>
          <w:b/>
          <w:bCs/>
          <w:noProof/>
          <w:color w:val="36363d"/>
          <w:sz w:val="44"/>
          <w:szCs w:val="44"/>
          <w:vertAlign w:val="superscript"/>
          <w:lang w:val="en-US" w:eastAsia="en-IN"/>
        </w:rPr>
      </w:pPr>
    </w:p>
    <w:p>
      <w:pPr>
        <w:pStyle w:val="style0"/>
        <w:spacing w:before="60" w:after="60" w:lineRule="auto" w:line="240"/>
        <w:rPr>
          <w:b/>
          <w:bCs/>
          <w:color w:val="36363d"/>
          <w:sz w:val="44"/>
          <w:szCs w:val="44"/>
          <w:vertAlign w:val="superscript"/>
        </w:rPr>
      </w:pPr>
      <w:r>
        <w:rPr>
          <w:rFonts w:ascii="Times New Roman" w:cs="Times New Roman" w:hAnsi="Times New Roman"/>
          <w:b/>
          <w:bCs/>
          <w:noProof/>
          <w:color w:val="36363d"/>
          <w:sz w:val="44"/>
          <w:szCs w:val="44"/>
          <w:vertAlign w:val="superscript"/>
          <w:lang w:val="en-US" w:eastAsia="en-IN"/>
        </w:rPr>
        <w:t>Non-Performing Assets</w:t>
      </w:r>
      <w:r>
        <w:rPr>
          <w:rFonts w:ascii="Times New Roman" w:cs="Times New Roman" w:hAnsi="Times New Roman"/>
          <w:b/>
          <w:bCs/>
          <w:noProof/>
          <w:color w:val="36363d"/>
          <w:sz w:val="44"/>
          <w:szCs w:val="44"/>
          <w:vertAlign w:val="superscript"/>
          <w:lang w:val="en-US" w:eastAsia="en-IN"/>
        </w:rPr>
        <w:cr/>
      </w:r>
    </w:p>
    <w:p>
      <w:pPr>
        <w:pStyle w:val="style0"/>
        <w:spacing w:before="60" w:after="60" w:lineRule="auto" w:line="240"/>
        <w:jc w:val="both"/>
        <w:rPr>
          <w:b/>
          <w:bCs/>
          <w:color w:val="36363d"/>
          <w:sz w:val="32"/>
          <w:szCs w:val="32"/>
          <w:vertAlign w:val="superscript"/>
        </w:rPr>
      </w:pPr>
      <w:r>
        <w:rPr>
          <w:rFonts w:ascii="Times New Roman" w:cs="Times New Roman" w:hAnsi="Times New Roman"/>
          <w:b/>
          <w:bCs/>
          <w:noProof/>
          <w:color w:val="36363d"/>
          <w:sz w:val="44"/>
          <w:szCs w:val="44"/>
          <w:vertAlign w:val="superscript"/>
          <w:lang w:val="en-US" w:eastAsia="en-IN"/>
        </w:rPr>
        <w:t xml:space="preserve">NPA (Non-Performing Assets) is related to banking and finance term. When bank or finance company is unable to recover its lent money from borrower in 90 days then that amount which </w:t>
      </w:r>
      <w:r>
        <w:rPr>
          <w:rFonts w:ascii="Times New Roman" w:cs="Times New Roman" w:hAnsi="Times New Roman"/>
          <w:b/>
          <w:bCs/>
          <w:noProof/>
          <w:color w:val="36363d"/>
          <w:sz w:val="44"/>
          <w:szCs w:val="44"/>
          <w:vertAlign w:val="superscript"/>
          <w:lang w:val="en-US" w:eastAsia="en-IN"/>
        </w:rPr>
        <w:t>have not been recovered will be treated as NPA. It represents bad loans, and the borrowers of who failed to satisfy their repayment obligations</w:t>
      </w:r>
      <w:r>
        <w:rPr>
          <w:rFonts w:ascii="Times New Roman" w:cs="Times New Roman" w:hAnsi="Times New Roman"/>
          <w:b/>
          <w:bCs/>
          <w:noProof/>
          <w:color w:val="36363d"/>
          <w:sz w:val="32"/>
          <w:szCs w:val="32"/>
          <w:vertAlign w:val="superscript"/>
          <w:lang w:val="en-US" w:eastAsia="en-IN"/>
        </w:rPr>
        <w:t xml:space="preserve">. </w:t>
      </w:r>
      <w:r>
        <w:rPr>
          <w:rFonts w:ascii="Times New Roman" w:cs="Times New Roman" w:hAnsi="Times New Roman"/>
          <w:b/>
          <w:bCs/>
          <w:noProof/>
          <w:color w:val="36363d"/>
          <w:sz w:val="44"/>
          <w:szCs w:val="44"/>
          <w:vertAlign w:val="superscript"/>
          <w:lang w:val="en-US" w:eastAsia="en-IN"/>
        </w:rPr>
        <w:t xml:space="preserve">With effect from March 31, 2004, a Non-performing Asset (NPA) shall be a loan or an advance where; </w:t>
      </w:r>
    </w:p>
    <w:p>
      <w:pPr>
        <w:pStyle w:val="style0"/>
        <w:spacing w:before="60" w:after="60" w:lineRule="auto" w:line="240"/>
        <w:jc w:val="both"/>
        <w:rPr>
          <w:b/>
          <w:bCs/>
          <w:color w:val="36363d"/>
          <w:sz w:val="44"/>
          <w:szCs w:val="44"/>
          <w:vertAlign w:val="superscript"/>
        </w:rPr>
      </w:pPr>
      <w:r>
        <w:rPr>
          <w:rFonts w:cs="Times New Roman" w:hAnsi="Times New Roman"/>
          <w:b/>
          <w:bCs/>
          <w:noProof/>
          <w:color w:val="36363d"/>
          <w:sz w:val="44"/>
          <w:szCs w:val="44"/>
          <w:vertAlign w:val="superscript"/>
          <w:lang w:val="en-US" w:eastAsia="en-IN"/>
        </w:rPr>
        <w:t>Interest</w:t>
      </w:r>
      <w:r>
        <w:rPr>
          <w:rFonts w:cs="Times New Roman" w:hAnsi="Times New Roman"/>
          <w:b/>
          <w:bCs/>
          <w:noProof/>
          <w:color w:val="36363d"/>
          <w:sz w:val="44"/>
          <w:szCs w:val="44"/>
          <w:vertAlign w:val="superscript"/>
          <w:lang w:val="en-US" w:eastAsia="en-IN"/>
        </w:rPr>
        <w:t xml:space="preserve"> and/ or installment of principal remain overdue for a period of more than 90 days in respect of a term loan, </w:t>
      </w:r>
    </w:p>
    <w:p>
      <w:pPr>
        <w:pStyle w:val="style0"/>
        <w:spacing w:before="60" w:after="60" w:lineRule="auto" w:line="240"/>
        <w:jc w:val="both"/>
        <w:rPr>
          <w:b/>
          <w:bCs/>
          <w:color w:val="36363d"/>
          <w:sz w:val="44"/>
          <w:szCs w:val="44"/>
          <w:vertAlign w:val="superscript"/>
        </w:rPr>
      </w:pPr>
      <w:r>
        <w:rPr>
          <w:rFonts w:cs="Times New Roman" w:hAnsi="Times New Roman"/>
          <w:b/>
          <w:bCs/>
          <w:noProof/>
          <w:color w:val="36363d"/>
          <w:sz w:val="44"/>
          <w:szCs w:val="44"/>
          <w:vertAlign w:val="superscript"/>
          <w:lang w:val="en-US" w:eastAsia="en-IN"/>
        </w:rPr>
        <w:t></w:t>
      </w:r>
      <w:r>
        <w:rPr>
          <w:rFonts w:cs="Times New Roman" w:hAnsi="Times New Roman"/>
          <w:b/>
          <w:bCs/>
          <w:noProof/>
          <w:color w:val="36363d"/>
          <w:sz w:val="44"/>
          <w:szCs w:val="44"/>
          <w:vertAlign w:val="superscript"/>
          <w:lang w:val="en-US" w:eastAsia="en-IN"/>
        </w:rPr>
        <w:t xml:space="preserve"> The account remains </w:t>
      </w:r>
      <w:r>
        <w:rPr>
          <w:rFonts w:cs="Times New Roman" w:hAnsi="Times New Roman"/>
          <w:b/>
          <w:bCs/>
          <w:noProof/>
          <w:color w:val="36363d"/>
          <w:sz w:val="44"/>
          <w:szCs w:val="44"/>
          <w:vertAlign w:val="superscript"/>
          <w:lang w:val="en-US" w:eastAsia="en-IN"/>
        </w:rPr>
        <w:t>„</w:t>
      </w:r>
      <w:r>
        <w:rPr>
          <w:rFonts w:cs="Times New Roman" w:hAnsi="Times New Roman"/>
          <w:b/>
          <w:bCs/>
          <w:noProof/>
          <w:color w:val="36363d"/>
          <w:sz w:val="44"/>
          <w:szCs w:val="44"/>
          <w:vertAlign w:val="superscript"/>
          <w:lang w:val="en-US" w:eastAsia="en-IN"/>
        </w:rPr>
        <w:t>out of order</w:t>
      </w:r>
      <w:r>
        <w:rPr>
          <w:rFonts w:cs="Times New Roman" w:hAnsi="Times New Roman"/>
          <w:b/>
          <w:bCs/>
          <w:noProof/>
          <w:color w:val="36363d"/>
          <w:sz w:val="44"/>
          <w:szCs w:val="44"/>
          <w:vertAlign w:val="superscript"/>
          <w:lang w:val="en-US" w:eastAsia="en-IN"/>
        </w:rPr>
        <w:t>‟</w:t>
      </w:r>
      <w:r>
        <w:rPr>
          <w:rFonts w:cs="Times New Roman" w:hAnsi="Times New Roman"/>
          <w:b/>
          <w:bCs/>
          <w:noProof/>
          <w:color w:val="36363d"/>
          <w:sz w:val="44"/>
          <w:szCs w:val="44"/>
          <w:vertAlign w:val="superscript"/>
          <w:lang w:val="en-US" w:eastAsia="en-IN"/>
        </w:rPr>
        <w:t xml:space="preserve"> for a period of more than 90 days, in respect of an Overdraft/Cash Credit.</w:t>
      </w:r>
      <w:r>
        <w:rPr>
          <w:rFonts w:cs="Times New Roman" w:hAnsi="Times New Roman"/>
          <w:b/>
          <w:bCs/>
          <w:noProof/>
          <w:color w:val="36363d"/>
          <w:sz w:val="44"/>
          <w:szCs w:val="44"/>
          <w:vertAlign w:val="superscript"/>
          <w:lang w:val="en-US" w:eastAsia="en-IN"/>
        </w:rPr>
        <w:t xml:space="preserve">The bill remains overdue for a period of more than 90 days in the case of bills purchased and discounted, </w:t>
      </w:r>
    </w:p>
    <w:p>
      <w:pPr>
        <w:pStyle w:val="style0"/>
        <w:spacing w:before="60" w:after="60" w:lineRule="auto" w:line="240"/>
        <w:jc w:val="both"/>
        <w:rPr>
          <w:b/>
          <w:bCs/>
          <w:color w:val="36363d"/>
          <w:sz w:val="44"/>
          <w:szCs w:val="44"/>
          <w:vertAlign w:val="superscript"/>
        </w:rPr>
      </w:pPr>
      <w:r>
        <w:rPr>
          <w:rFonts w:cs="Times New Roman" w:hAnsi="Times New Roman"/>
          <w:b/>
          <w:bCs/>
          <w:noProof/>
          <w:color w:val="36363d"/>
          <w:sz w:val="44"/>
          <w:szCs w:val="44"/>
          <w:vertAlign w:val="superscript"/>
          <w:lang w:val="en-US" w:eastAsia="en-IN"/>
        </w:rPr>
        <w:t></w:t>
      </w:r>
      <w:r>
        <w:rPr>
          <w:rFonts w:cs="Times New Roman" w:hAnsi="Times New Roman"/>
          <w:b/>
          <w:bCs/>
          <w:noProof/>
          <w:color w:val="36363d"/>
          <w:sz w:val="44"/>
          <w:szCs w:val="44"/>
          <w:vertAlign w:val="superscript"/>
          <w:lang w:val="en-US" w:eastAsia="en-IN"/>
        </w:rPr>
        <w:t xml:space="preserve"> Interest and/or installment of principal remains overdue for two harvest seasons but for a period not exceeding two and a half years in the case of</w:t>
      </w:r>
      <w:r>
        <w:rPr>
          <w:rFonts w:cs="Times New Roman" w:hAnsi="Times New Roman"/>
          <w:b/>
          <w:bCs/>
          <w:noProof/>
          <w:color w:val="36363d"/>
          <w:sz w:val="44"/>
          <w:szCs w:val="44"/>
          <w:vertAlign w:val="superscript"/>
          <w:lang w:val="en-US" w:eastAsia="en-IN"/>
        </w:rPr>
        <w:t xml:space="preserve"> an advance granted for agricultural purposes, and w.e.f 30.09.2004 following further amendments were issued by </w:t>
      </w:r>
    </w:p>
    <w:p>
      <w:pPr>
        <w:pStyle w:val="style0"/>
        <w:spacing w:before="60" w:after="60" w:lineRule="auto" w:line="240"/>
        <w:jc w:val="both"/>
        <w:rPr>
          <w:b/>
          <w:bCs/>
          <w:color w:val="36363d"/>
          <w:sz w:val="44"/>
          <w:szCs w:val="44"/>
          <w:vertAlign w:val="superscript"/>
        </w:rPr>
      </w:pPr>
      <w:r>
        <w:rPr>
          <w:rFonts w:cs="Times New Roman" w:hAnsi="Times New Roman"/>
          <w:b/>
          <w:bCs/>
          <w:noProof/>
          <w:color w:val="36363d"/>
          <w:sz w:val="44"/>
          <w:szCs w:val="44"/>
          <w:vertAlign w:val="superscript"/>
          <w:lang w:val="en-US" w:eastAsia="en-IN"/>
        </w:rPr>
        <w:t>the Apex Bank,</w:t>
      </w:r>
    </w:p>
    <w:p>
      <w:pPr>
        <w:pStyle w:val="style0"/>
        <w:spacing w:before="60" w:after="60" w:lineRule="auto" w:line="240"/>
        <w:rPr>
          <w:b/>
          <w:bCs/>
          <w:color w:val="36363d"/>
          <w:sz w:val="44"/>
          <w:szCs w:val="44"/>
          <w:vertAlign w:val="superscript"/>
        </w:rPr>
      </w:pP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A loan granted for short duration crops will be treated as NPA if the installment of  principal or interest thereon remains ove</w:t>
      </w:r>
      <w:r>
        <w:rPr>
          <w:b/>
          <w:bCs/>
          <w:color w:val="36363d"/>
          <w:sz w:val="44"/>
          <w:szCs w:val="44"/>
          <w:vertAlign w:val="superscript"/>
          <w:lang w:val="en-US"/>
        </w:rPr>
        <w:t xml:space="preserve">rdue for two crop seasons. </w:t>
      </w:r>
    </w:p>
    <w:p>
      <w:pPr>
        <w:pStyle w:val="style0"/>
        <w:spacing w:before="60" w:after="60" w:lineRule="auto" w:line="240"/>
        <w:rPr>
          <w:b/>
          <w:bCs/>
          <w:color w:val="36363d"/>
          <w:sz w:val="44"/>
          <w:szCs w:val="44"/>
          <w:vertAlign w:val="superscript"/>
        </w:rPr>
      </w:pPr>
    </w:p>
    <w:p>
      <w:pPr>
        <w:pStyle w:val="style0"/>
        <w:spacing w:before="60" w:after="60" w:lineRule="auto" w:line="240"/>
        <w:rPr>
          <w:b/>
          <w:bCs/>
          <w:color w:val="36363d"/>
          <w:sz w:val="44"/>
          <w:szCs w:val="44"/>
          <w:vertAlign w:val="superscript"/>
        </w:rPr>
      </w:pP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 xml:space="preserve"> A loan granted for long duration crops will be treated as NPA if the installment of principal or interest thereon remains overdue for one crop season. </w:t>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 Any amount to be received remains overdue for a period of more than 90 days in respect of other acco</w:t>
      </w:r>
      <w:r>
        <w:rPr>
          <w:b/>
          <w:bCs/>
          <w:color w:val="36363d"/>
          <w:sz w:val="44"/>
          <w:szCs w:val="44"/>
          <w:vertAlign w:val="superscript"/>
          <w:lang w:val="en-US"/>
        </w:rPr>
        <w:t xml:space="preserve">unts. </w:t>
      </w:r>
    </w:p>
    <w:p>
      <w:pPr>
        <w:pStyle w:val="style0"/>
        <w:spacing w:before="60" w:after="60" w:lineRule="auto" w:line="240"/>
        <w:rPr>
          <w:b/>
          <w:bCs/>
          <w:color w:val="36363d"/>
          <w:sz w:val="44"/>
          <w:szCs w:val="44"/>
          <w:vertAlign w:val="superscript"/>
        </w:rPr>
      </w:pP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 xml:space="preserve">Types of NPA </w:t>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 xml:space="preserve">a) Gross NPA </w:t>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 xml:space="preserve">Gross NPA is advance which is considered irrecoverable, for which bank has made </w:t>
      </w:r>
      <w:r>
        <w:rPr>
          <w:b/>
          <w:bCs/>
          <w:color w:val="36363d"/>
          <w:sz w:val="44"/>
          <w:szCs w:val="44"/>
          <w:vertAlign w:val="superscript"/>
          <w:lang w:val="en-US"/>
        </w:rPr>
        <w:t xml:space="preserve">provisions, and which is still held in banks' books of account. </w:t>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 xml:space="preserve">b) Net NPA </w:t>
      </w:r>
      <w:r>
        <w:rPr>
          <w:b/>
          <w:bCs/>
          <w:color w:val="36363d"/>
          <w:sz w:val="44"/>
          <w:szCs w:val="44"/>
          <w:vertAlign w:val="superscript"/>
          <w:lang w:val="en-US"/>
        </w:rPr>
        <w:cr/>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Net NPA is obtained by deducting items like interest due b</w:t>
      </w:r>
      <w:r>
        <w:rPr>
          <w:b/>
          <w:bCs/>
          <w:color w:val="36363d"/>
          <w:sz w:val="44"/>
          <w:szCs w:val="44"/>
          <w:vertAlign w:val="superscript"/>
          <w:lang w:val="en-US"/>
        </w:rPr>
        <w:t xml:space="preserve">ut not recovered, part payment </w:t>
      </w:r>
      <w:r>
        <w:rPr>
          <w:b/>
          <w:bCs/>
          <w:color w:val="36363d"/>
          <w:sz w:val="44"/>
          <w:szCs w:val="44"/>
          <w:vertAlign w:val="superscript"/>
          <w:lang w:val="en-US"/>
        </w:rPr>
        <w:t xml:space="preserve">received and kept in suspense account from Gross NPA. </w:t>
      </w:r>
    </w:p>
    <w:p>
      <w:pPr>
        <w:pStyle w:val="style0"/>
        <w:spacing w:before="60" w:after="60" w:lineRule="auto" w:line="240"/>
        <w:jc w:val="both"/>
        <w:rPr>
          <w:b/>
          <w:bCs/>
          <w:color w:val="36363d"/>
          <w:sz w:val="44"/>
          <w:szCs w:val="44"/>
          <w:vertAlign w:val="superscript"/>
          <w:lang w:val="en-US"/>
        </w:rPr>
      </w:pPr>
    </w:p>
    <w:p>
      <w:pPr>
        <w:pStyle w:val="style0"/>
        <w:spacing w:before="60" w:after="60" w:lineRule="auto" w:line="240"/>
        <w:rPr>
          <w:b/>
          <w:bCs/>
          <w:color w:val="36363d"/>
          <w:sz w:val="44"/>
          <w:szCs w:val="44"/>
          <w:vertAlign w:val="superscript"/>
          <w:lang w:val="en-US"/>
        </w:rPr>
      </w:pP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 xml:space="preserve">Asset classification categories of NPAs </w:t>
      </w:r>
      <w:r>
        <w:rPr>
          <w:b/>
          <w:bCs/>
          <w:color w:val="36363d"/>
          <w:sz w:val="44"/>
          <w:szCs w:val="44"/>
          <w:vertAlign w:val="superscript"/>
          <w:lang w:val="en-US"/>
        </w:rPr>
        <w:cr/>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1. Standard Assets:</w:t>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 xml:space="preserve">Standard assets are the ones in which the bank is receiving interest as well as the </w:t>
      </w:r>
      <w:r>
        <w:rPr>
          <w:b/>
          <w:bCs/>
          <w:color w:val="36363d"/>
          <w:sz w:val="44"/>
          <w:szCs w:val="44"/>
          <w:vertAlign w:val="superscript"/>
          <w:lang w:val="en-US"/>
        </w:rPr>
        <w:t xml:space="preserve">principal amount of </w:t>
      </w:r>
      <w:r>
        <w:rPr>
          <w:b/>
          <w:bCs/>
          <w:color w:val="36363d"/>
          <w:sz w:val="44"/>
          <w:szCs w:val="44"/>
          <w:vertAlign w:val="superscript"/>
          <w:lang w:val="en-US"/>
        </w:rPr>
        <w:t xml:space="preserve">the loan regularly from the customer. Here it is also very important that in </w:t>
      </w:r>
      <w:r>
        <w:rPr>
          <w:b/>
          <w:bCs/>
          <w:color w:val="36363d"/>
          <w:sz w:val="44"/>
          <w:szCs w:val="44"/>
          <w:vertAlign w:val="superscript"/>
          <w:lang w:val="en-US"/>
        </w:rPr>
        <w:t xml:space="preserve">this case the arrears of interest and the principal amount of loan do not exceed 90 days at the end </w:t>
      </w:r>
      <w:r>
        <w:rPr>
          <w:b/>
          <w:bCs/>
          <w:color w:val="36363d"/>
          <w:sz w:val="44"/>
          <w:szCs w:val="44"/>
          <w:vertAlign w:val="superscript"/>
          <w:lang w:val="en-US"/>
        </w:rPr>
        <w:t xml:space="preserve">of financial year. </w:t>
      </w:r>
      <w:r>
        <w:rPr>
          <w:b/>
          <w:bCs/>
          <w:color w:val="36363d"/>
          <w:sz w:val="44"/>
          <w:szCs w:val="44"/>
          <w:vertAlign w:val="superscript"/>
          <w:lang w:val="en-US"/>
        </w:rPr>
        <w:cr/>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2. Sub-standard Assets</w:t>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 xml:space="preserve">With effect from 31 March 2005, a substandard asset would be one, which has remained </w:t>
      </w:r>
      <w:r>
        <w:rPr>
          <w:b/>
          <w:bCs/>
          <w:color w:val="36363d"/>
          <w:sz w:val="44"/>
          <w:szCs w:val="44"/>
          <w:vertAlign w:val="superscript"/>
          <w:lang w:val="en-US"/>
        </w:rPr>
        <w:t>NPA for a period less than or equal to 12 months.</w:t>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3. Doubtful Assets</w:t>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 xml:space="preserve">A loan is classified as doubtful if it remained in the sub-standard category for 12 months. </w:t>
      </w:r>
      <w:r>
        <w:rPr>
          <w:b/>
          <w:bCs/>
          <w:color w:val="36363d"/>
          <w:sz w:val="44"/>
          <w:szCs w:val="44"/>
          <w:vertAlign w:val="superscript"/>
          <w:lang w:val="en-US"/>
        </w:rPr>
        <w:cr/>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4. L</w:t>
      </w:r>
      <w:r>
        <w:rPr>
          <w:b/>
          <w:bCs/>
          <w:color w:val="36363d"/>
          <w:sz w:val="44"/>
          <w:szCs w:val="44"/>
          <w:vertAlign w:val="superscript"/>
          <w:lang w:val="en-US"/>
        </w:rPr>
        <w:t xml:space="preserve">oss Assets </w:t>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 xml:space="preserve">A loss asset is one which considered uncollectible and of such little value that its </w:t>
      </w:r>
      <w:r>
        <w:rPr>
          <w:b/>
          <w:bCs/>
          <w:color w:val="36363d"/>
          <w:sz w:val="44"/>
          <w:szCs w:val="44"/>
          <w:vertAlign w:val="superscript"/>
          <w:lang w:val="en-US"/>
        </w:rPr>
        <w:t xml:space="preserve">continuance as a bankable asset is not warranted- although there may be some salvage or </w:t>
      </w:r>
      <w:r>
        <w:rPr>
          <w:b/>
          <w:bCs/>
          <w:color w:val="36363d"/>
          <w:sz w:val="44"/>
          <w:szCs w:val="44"/>
          <w:vertAlign w:val="superscript"/>
          <w:lang w:val="en-US"/>
        </w:rPr>
        <w:t>recovery value. Also, these assets would have been identified as “los</w:t>
      </w:r>
      <w:r>
        <w:rPr>
          <w:b/>
          <w:bCs/>
          <w:color w:val="36363d"/>
          <w:sz w:val="44"/>
          <w:szCs w:val="44"/>
          <w:vertAlign w:val="superscript"/>
          <w:lang w:val="en-US"/>
        </w:rPr>
        <w:t xml:space="preserve">s assets” by the bank or </w:t>
      </w:r>
      <w:r>
        <w:rPr>
          <w:b/>
          <w:bCs/>
          <w:color w:val="36363d"/>
          <w:sz w:val="44"/>
          <w:szCs w:val="44"/>
          <w:vertAlign w:val="superscript"/>
          <w:lang w:val="en-US"/>
        </w:rPr>
        <w:t>internal or external auditors or the RBI inspection but the amount would not have been written-</w:t>
      </w:r>
      <w:r>
        <w:rPr>
          <w:b/>
          <w:bCs/>
          <w:color w:val="36363d"/>
          <w:sz w:val="44"/>
          <w:szCs w:val="44"/>
          <w:vertAlign w:val="superscript"/>
          <w:lang w:val="en-US"/>
        </w:rPr>
        <w:t>off wholly.</w:t>
      </w:r>
    </w:p>
    <w:p>
      <w:pPr>
        <w:pStyle w:val="style0"/>
        <w:spacing w:before="60" w:after="60" w:lineRule="auto" w:line="240"/>
        <w:jc w:val="both"/>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lang w:val="en-US"/>
        </w:rPr>
      </w:pPr>
      <w:r>
        <w:rPr>
          <w:b/>
          <w:bCs/>
          <w:color w:val="36363d"/>
          <w:sz w:val="32"/>
          <w:szCs w:val="32"/>
          <w:vertAlign w:val="superscript"/>
          <w:lang w:val="en-US"/>
        </w:rPr>
        <w:t xml:space="preserve">                                                   </w:t>
      </w:r>
    </w:p>
    <w:p>
      <w:pPr>
        <w:pStyle w:val="style0"/>
        <w:spacing w:before="60" w:after="60" w:lineRule="auto" w:line="240"/>
        <w:rPr>
          <w:b/>
          <w:bCs/>
          <w:color w:val="36363d"/>
          <w:sz w:val="32"/>
          <w:szCs w:val="32"/>
          <w:vertAlign w:val="superscript"/>
          <w:lang w:val="en-US"/>
        </w:rPr>
      </w:pP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 xml:space="preserve">      </w:t>
      </w:r>
      <w:r>
        <w:rPr>
          <w:b/>
          <w:bCs/>
          <w:color w:val="36363d"/>
          <w:sz w:val="44"/>
          <w:szCs w:val="44"/>
          <w:vertAlign w:val="superscript"/>
          <w:lang w:val="en-US"/>
        </w:rPr>
        <w:t>LITERATURE REVIEW</w:t>
      </w:r>
      <w:r>
        <w:rPr>
          <w:b/>
          <w:bCs/>
          <w:color w:val="36363d"/>
          <w:sz w:val="44"/>
          <w:szCs w:val="44"/>
          <w:vertAlign w:val="superscript"/>
          <w:lang w:val="en-US"/>
        </w:rPr>
        <w:cr/>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 xml:space="preserve"> Gupta (2012) argued that despite </w:t>
      </w:r>
      <w:r>
        <w:rPr>
          <w:b/>
          <w:bCs/>
          <w:color w:val="36363d"/>
          <w:sz w:val="44"/>
          <w:szCs w:val="44"/>
          <w:vertAlign w:val="superscript"/>
          <w:lang w:val="en-US"/>
        </w:rPr>
        <w:t xml:space="preserve">the efforts of banks in containing the NPAs, the amount </w:t>
      </w:r>
      <w:r>
        <w:rPr>
          <w:b/>
          <w:bCs/>
          <w:color w:val="36363d"/>
          <w:sz w:val="44"/>
          <w:szCs w:val="44"/>
          <w:vertAlign w:val="superscript"/>
          <w:lang w:val="en-US"/>
        </w:rPr>
        <w:t xml:space="preserve">of slippage is still high and public sector banks are more at threat while private sector </w:t>
      </w:r>
      <w:r>
        <w:rPr>
          <w:b/>
          <w:bCs/>
          <w:color w:val="36363d"/>
          <w:sz w:val="44"/>
          <w:szCs w:val="44"/>
          <w:vertAlign w:val="superscript"/>
          <w:lang w:val="en-US"/>
        </w:rPr>
        <w:t>banks are able to consolidate with technology and improved methods.</w:t>
      </w:r>
      <w:r>
        <w:rPr>
          <w:b/>
          <w:bCs/>
          <w:color w:val="36363d"/>
          <w:sz w:val="44"/>
          <w:szCs w:val="44"/>
          <w:vertAlign w:val="superscript"/>
          <w:lang w:val="en-US"/>
        </w:rPr>
        <w:cr/>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 Sevarajan and Vadivalagan</w:t>
      </w:r>
      <w:r>
        <w:rPr>
          <w:b/>
          <w:bCs/>
          <w:color w:val="36363d"/>
          <w:sz w:val="44"/>
          <w:szCs w:val="44"/>
          <w:vertAlign w:val="superscript"/>
          <w:lang w:val="en-US"/>
        </w:rPr>
        <w:t xml:space="preserve"> (2013) studied management of Non-Performing Assets in </w:t>
      </w:r>
      <w:r>
        <w:rPr>
          <w:b/>
          <w:bCs/>
          <w:color w:val="36363d"/>
          <w:sz w:val="44"/>
          <w:szCs w:val="44"/>
          <w:vertAlign w:val="superscript"/>
          <w:lang w:val="en-US"/>
        </w:rPr>
        <w:t xml:space="preserve">priority sector with reference to Indian bank and other public sector banks for the period </w:t>
      </w:r>
      <w:r>
        <w:rPr>
          <w:b/>
          <w:bCs/>
          <w:color w:val="36363d"/>
          <w:sz w:val="44"/>
          <w:szCs w:val="44"/>
          <w:vertAlign w:val="superscript"/>
          <w:lang w:val="en-US"/>
        </w:rPr>
        <w:t>2001-2011 found NPAs is more in priority sector compared to other PSBs in Indian Banks.</w:t>
      </w:r>
      <w:r>
        <w:rPr>
          <w:b/>
          <w:bCs/>
          <w:color w:val="36363d"/>
          <w:sz w:val="44"/>
          <w:szCs w:val="44"/>
          <w:vertAlign w:val="superscript"/>
          <w:lang w:val="en-US"/>
        </w:rPr>
        <w:cr/>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 xml:space="preserve"> Gupta and Kesari </w:t>
      </w:r>
      <w:r>
        <w:rPr>
          <w:b/>
          <w:bCs/>
          <w:color w:val="36363d"/>
          <w:sz w:val="44"/>
          <w:szCs w:val="44"/>
          <w:vertAlign w:val="superscript"/>
          <w:lang w:val="en-US"/>
        </w:rPr>
        <w:t xml:space="preserve">(2016) found that global economic slowdown and its impact on Indian </w:t>
      </w:r>
      <w:r>
        <w:rPr>
          <w:b/>
          <w:bCs/>
          <w:color w:val="36363d"/>
          <w:sz w:val="44"/>
          <w:szCs w:val="44"/>
          <w:vertAlign w:val="superscript"/>
          <w:lang w:val="en-US"/>
        </w:rPr>
        <w:t>economy was the primary reason for rising of the NPAs.</w:t>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Objective</w:t>
      </w:r>
      <w:r>
        <w:rPr>
          <w:b/>
          <w:bCs/>
          <w:color w:val="36363d"/>
          <w:sz w:val="44"/>
          <w:szCs w:val="44"/>
          <w:vertAlign w:val="superscript"/>
          <w:lang w:val="en-US"/>
        </w:rPr>
        <w:cr/>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 xml:space="preserve"> To understand the concept of NPAs, its types, asset classification, and provisioning norms. </w:t>
      </w:r>
    </w:p>
    <w:p>
      <w:pPr>
        <w:pStyle w:val="style0"/>
        <w:spacing w:before="60" w:after="60" w:lineRule="auto" w:line="240"/>
        <w:jc w:val="both"/>
        <w:rPr>
          <w:b/>
          <w:bCs/>
          <w:color w:val="36363d"/>
          <w:sz w:val="44"/>
          <w:szCs w:val="44"/>
          <w:vertAlign w:val="superscript"/>
          <w:lang w:val="en-US"/>
        </w:rPr>
      </w:pPr>
    </w:p>
    <w:p>
      <w:pPr>
        <w:pStyle w:val="style0"/>
        <w:spacing w:before="60" w:after="60" w:lineRule="auto" w:line="240"/>
        <w:jc w:val="both"/>
        <w:rPr>
          <w:b/>
          <w:bCs/>
          <w:color w:val="36363d"/>
          <w:sz w:val="44"/>
          <w:szCs w:val="44"/>
          <w:vertAlign w:val="superscript"/>
          <w:lang w:val="en-US"/>
        </w:rPr>
      </w:pP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 To analyze the empirical</w:t>
      </w:r>
      <w:r>
        <w:rPr>
          <w:b/>
          <w:bCs/>
          <w:color w:val="36363d"/>
          <w:sz w:val="44"/>
          <w:szCs w:val="44"/>
          <w:vertAlign w:val="superscript"/>
          <w:lang w:val="en-US"/>
        </w:rPr>
        <w:t xml:space="preserve"> position of gross and net NPAs in Indian banking sector.</w:t>
      </w:r>
    </w:p>
    <w:p>
      <w:pPr>
        <w:pStyle w:val="style0"/>
        <w:spacing w:before="60" w:after="60" w:lineRule="auto" w:line="240"/>
        <w:jc w:val="both"/>
        <w:rPr>
          <w:b/>
          <w:bCs/>
          <w:color w:val="36363d"/>
          <w:sz w:val="32"/>
          <w:szCs w:val="32"/>
          <w:vertAlign w:val="superscript"/>
        </w:rPr>
      </w:pPr>
      <w:r>
        <w:rPr>
          <w:b/>
          <w:bCs/>
          <w:color w:val="36363d"/>
          <w:sz w:val="44"/>
          <w:szCs w:val="44"/>
          <w:vertAlign w:val="superscript"/>
          <w:lang w:val="en-US"/>
        </w:rPr>
        <w:t> To assess the impact of NPAs between public and private sector banks</w:t>
      </w:r>
      <w:r>
        <w:rPr>
          <w:b/>
          <w:bCs/>
          <w:color w:val="36363d"/>
          <w:sz w:val="32"/>
          <w:szCs w:val="32"/>
          <w:vertAlign w:val="superscript"/>
          <w:lang w:val="en-US"/>
        </w:rPr>
        <w:t>.</w:t>
      </w:r>
    </w:p>
    <w:p>
      <w:pPr>
        <w:pStyle w:val="style0"/>
        <w:spacing w:before="60" w:after="60" w:lineRule="auto" w:line="240"/>
        <w:rPr>
          <w:b/>
          <w:bCs/>
          <w:color w:val="36363d"/>
          <w:sz w:val="44"/>
          <w:szCs w:val="44"/>
          <w:vertAlign w:val="superscript"/>
          <w:lang w:val="en-US"/>
        </w:rPr>
      </w:pPr>
      <w:r>
        <w:rPr>
          <w:b/>
          <w:bCs/>
          <w:color w:val="36363d"/>
          <w:sz w:val="44"/>
          <w:szCs w:val="44"/>
          <w:vertAlign w:val="superscript"/>
          <w:lang w:val="en-US"/>
        </w:rPr>
        <w:t xml:space="preserve"> To analyze the recovery measures of NPAs and provide suggestions for reducing </w:t>
      </w:r>
      <w:r>
        <w:rPr>
          <w:b/>
          <w:bCs/>
          <w:color w:val="36363d"/>
          <w:sz w:val="44"/>
          <w:szCs w:val="44"/>
          <w:vertAlign w:val="superscript"/>
          <w:lang w:val="en-US"/>
        </w:rPr>
        <w:t>th</w:t>
      </w:r>
    </w:p>
    <w:p>
      <w:pPr>
        <w:pStyle w:val="style0"/>
        <w:spacing w:before="60" w:after="60" w:lineRule="auto" w:line="240"/>
        <w:rPr>
          <w:b/>
          <w:bCs/>
          <w:color w:val="36363d"/>
          <w:sz w:val="32"/>
          <w:szCs w:val="32"/>
          <w:vertAlign w:val="superscript"/>
          <w:lang w:val="en-US"/>
        </w:rPr>
      </w:pPr>
    </w:p>
    <w:p>
      <w:pPr>
        <w:pStyle w:val="style0"/>
        <w:spacing w:before="60" w:after="60" w:lineRule="auto" w:line="240"/>
        <w:rPr>
          <w:b/>
          <w:bCs/>
          <w:color w:val="36363d"/>
          <w:sz w:val="48"/>
          <w:szCs w:val="48"/>
          <w:vertAlign w:val="superscript"/>
        </w:rPr>
      </w:pPr>
      <w:r>
        <w:rPr>
          <w:b/>
          <w:bCs/>
          <w:color w:val="36363d"/>
          <w:sz w:val="32"/>
          <w:szCs w:val="32"/>
          <w:vertAlign w:val="superscript"/>
          <w:lang w:val="en-US"/>
        </w:rPr>
        <w:t xml:space="preserve">  </w:t>
      </w:r>
      <w:r>
        <w:rPr>
          <w:b/>
          <w:bCs/>
          <w:color w:val="36363d"/>
          <w:sz w:val="32"/>
          <w:szCs w:val="32"/>
          <w:vertAlign w:val="superscript"/>
          <w:lang w:val="en-US"/>
        </w:rPr>
        <w:t xml:space="preserve">                                        </w:t>
      </w:r>
      <w:r>
        <w:rPr>
          <w:b/>
          <w:bCs/>
          <w:color w:val="36363d"/>
          <w:sz w:val="32"/>
          <w:szCs w:val="32"/>
          <w:vertAlign w:val="superscript"/>
          <w:lang w:val="en-US"/>
        </w:rPr>
        <w:t xml:space="preserve">                            </w:t>
      </w:r>
      <w:r>
        <w:rPr>
          <w:b/>
          <w:bCs/>
          <w:color w:val="36363d"/>
          <w:sz w:val="32"/>
          <w:szCs w:val="32"/>
          <w:vertAlign w:val="superscript"/>
          <w:lang w:val="en-US"/>
        </w:rPr>
        <w:t xml:space="preserve">  </w:t>
      </w:r>
      <w:r>
        <w:rPr>
          <w:b/>
          <w:bCs/>
          <w:color w:val="36363d"/>
          <w:sz w:val="48"/>
          <w:szCs w:val="48"/>
          <w:vertAlign w:val="superscript"/>
          <w:lang w:val="en-US"/>
        </w:rPr>
        <w:t>METHODOLOGY</w:t>
      </w:r>
      <w:r>
        <w:rPr>
          <w:b/>
          <w:bCs/>
          <w:color w:val="36363d"/>
          <w:sz w:val="48"/>
          <w:szCs w:val="48"/>
          <w:vertAlign w:val="superscript"/>
          <w:lang w:val="en-US"/>
        </w:rPr>
        <w:cr/>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 xml:space="preserve">The study is descriptive in nature. As this research work is based on secondary data of 10 </w:t>
      </w:r>
      <w:r>
        <w:rPr>
          <w:b/>
          <w:bCs/>
          <w:color w:val="36363d"/>
          <w:sz w:val="44"/>
          <w:szCs w:val="44"/>
          <w:vertAlign w:val="superscript"/>
          <w:lang w:val="en-US"/>
        </w:rPr>
        <w:t>private sector banks and 10 public sector banks has been selected as samples for the study. The data has been taken in this study for last 10 years (2009-10 to 2018</w:t>
      </w:r>
      <w:r>
        <w:rPr>
          <w:b/>
          <w:bCs/>
          <w:color w:val="36363d"/>
          <w:sz w:val="44"/>
          <w:szCs w:val="44"/>
          <w:vertAlign w:val="superscript"/>
          <w:lang w:val="en-US"/>
        </w:rPr>
        <w:t>- 19). The secondary data has been used in this study from the online sources like money control, RBI</w:t>
      </w:r>
      <w:r>
        <w:rPr>
          <w:b/>
          <w:bCs/>
          <w:color w:val="36363d"/>
          <w:sz w:val="44"/>
          <w:szCs w:val="44"/>
          <w:vertAlign w:val="superscript"/>
          <w:lang w:val="en-US"/>
        </w:rPr>
        <w:t xml:space="preserve"> </w:t>
      </w:r>
      <w:r>
        <w:rPr>
          <w:b/>
          <w:bCs/>
          <w:color w:val="36363d"/>
          <w:sz w:val="44"/>
          <w:szCs w:val="44"/>
          <w:vertAlign w:val="superscript"/>
          <w:lang w:val="en-US"/>
        </w:rPr>
        <w:t>websites, and RBI reports. Regression analysis is used to check the</w:t>
      </w:r>
      <w:r>
        <w:rPr>
          <w:b/>
          <w:bCs/>
          <w:color w:val="36363d"/>
          <w:sz w:val="44"/>
          <w:szCs w:val="44"/>
          <w:vertAlign w:val="superscript"/>
          <w:lang w:val="en-US"/>
        </w:rPr>
        <w:t xml:space="preserve"> </w:t>
      </w:r>
      <w:r>
        <w:rPr>
          <w:b/>
          <w:bCs/>
          <w:color w:val="36363d"/>
          <w:sz w:val="44"/>
          <w:szCs w:val="44"/>
          <w:vertAlign w:val="superscript"/>
          <w:lang w:val="en-US"/>
        </w:rPr>
        <w:t xml:space="preserve">relationships between NPAs and economic </w:t>
      </w:r>
      <w:r>
        <w:rPr>
          <w:b/>
          <w:bCs/>
          <w:color w:val="36363d"/>
          <w:sz w:val="44"/>
          <w:szCs w:val="44"/>
          <w:vertAlign w:val="superscript"/>
          <w:lang w:val="en-US"/>
        </w:rPr>
        <w:t>parameters.</w:t>
      </w:r>
      <w:r>
        <w:rPr>
          <w:b/>
          <w:bCs/>
          <w:color w:val="36363d"/>
          <w:sz w:val="44"/>
          <w:szCs w:val="44"/>
          <w:vertAlign w:val="superscript"/>
          <w:lang w:val="en-US"/>
        </w:rPr>
        <w:cr/>
      </w:r>
    </w:p>
    <w:p>
      <w:pPr>
        <w:pStyle w:val="style0"/>
        <w:spacing w:before="60" w:after="60" w:lineRule="auto" w:line="240"/>
        <w:rPr>
          <w:b/>
          <w:bCs/>
          <w:color w:val="36363d"/>
          <w:sz w:val="48"/>
          <w:szCs w:val="48"/>
          <w:vertAlign w:val="superscript"/>
        </w:rPr>
      </w:pPr>
      <w:r>
        <w:rPr>
          <w:b/>
          <w:bCs/>
          <w:color w:val="36363d"/>
          <w:sz w:val="48"/>
          <w:szCs w:val="48"/>
          <w:vertAlign w:val="superscript"/>
          <w:lang w:val="en-US"/>
        </w:rPr>
        <w:t xml:space="preserve">                                </w:t>
      </w:r>
      <w:r>
        <w:rPr>
          <w:b/>
          <w:bCs/>
          <w:color w:val="36363d"/>
          <w:sz w:val="48"/>
          <w:szCs w:val="48"/>
          <w:vertAlign w:val="superscript"/>
          <w:lang w:val="en-US"/>
        </w:rPr>
        <w:t xml:space="preserve">                      </w:t>
      </w:r>
      <w:r>
        <w:rPr>
          <w:b/>
          <w:bCs/>
          <w:color w:val="36363d"/>
          <w:sz w:val="48"/>
          <w:szCs w:val="48"/>
          <w:vertAlign w:val="superscript"/>
          <w:lang w:val="en-US"/>
        </w:rPr>
        <w:t>HYPOTHESIS</w:t>
      </w:r>
      <w:r>
        <w:rPr>
          <w:b/>
          <w:bCs/>
          <w:color w:val="36363d"/>
          <w:sz w:val="48"/>
          <w:szCs w:val="48"/>
          <w:vertAlign w:val="superscript"/>
          <w:lang w:val="en-US"/>
        </w:rPr>
        <w:cr/>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 xml:space="preserve">1. There is no significant difference in the position of gross NPA between public and private </w:t>
      </w:r>
      <w:r>
        <w:rPr>
          <w:b/>
          <w:bCs/>
          <w:color w:val="36363d"/>
          <w:sz w:val="44"/>
          <w:szCs w:val="44"/>
          <w:vertAlign w:val="superscript"/>
          <w:lang w:val="en-US"/>
        </w:rPr>
        <w:t>sector banks.</w:t>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 xml:space="preserve">2. There is no significant difference in the position of net NPA between public and private </w:t>
      </w:r>
      <w:r>
        <w:rPr>
          <w:b/>
          <w:bCs/>
          <w:color w:val="36363d"/>
          <w:sz w:val="44"/>
          <w:szCs w:val="44"/>
          <w:vertAlign w:val="superscript"/>
          <w:lang w:val="en-US"/>
        </w:rPr>
        <w:t>sector banks.</w:t>
      </w:r>
    </w:p>
    <w:p>
      <w:pPr>
        <w:pStyle w:val="style0"/>
        <w:spacing w:before="60" w:after="60" w:lineRule="auto" w:line="240"/>
        <w:jc w:val="both"/>
        <w:rPr>
          <w:b/>
          <w:bCs/>
          <w:color w:val="36363d"/>
          <w:sz w:val="32"/>
          <w:szCs w:val="32"/>
          <w:vertAlign w:val="superscript"/>
        </w:rPr>
      </w:pP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Impac</w:t>
      </w:r>
      <w:r>
        <w:rPr>
          <w:b/>
          <w:bCs/>
          <w:color w:val="36363d"/>
          <w:sz w:val="44"/>
          <w:szCs w:val="44"/>
          <w:vertAlign w:val="superscript"/>
          <w:lang w:val="en-US"/>
        </w:rPr>
        <w:t xml:space="preserve">t of Gross NPA on CAMEL Model – Public Sector Banks </w:t>
      </w:r>
      <w:r>
        <w:rPr>
          <w:b/>
          <w:bCs/>
          <w:color w:val="36363d"/>
          <w:sz w:val="44"/>
          <w:szCs w:val="44"/>
          <w:vertAlign w:val="superscript"/>
          <w:lang w:val="en-US"/>
        </w:rPr>
        <w:t xml:space="preserve">In this regression, dependent variable and the independent variables are listed below: </w:t>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Dependent variable: Gross NPA (Y)</w:t>
      </w:r>
      <w:r>
        <w:rPr>
          <w:b/>
          <w:bCs/>
          <w:color w:val="36363d"/>
          <w:sz w:val="44"/>
          <w:szCs w:val="44"/>
          <w:vertAlign w:val="superscript"/>
          <w:lang w:val="en-US"/>
        </w:rPr>
        <w:cr/>
      </w: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Independent variables:</w:t>
      </w:r>
    </w:p>
    <w:p>
      <w:pPr>
        <w:pStyle w:val="style0"/>
        <w:spacing w:before="60" w:after="60" w:lineRule="auto" w:line="240"/>
        <w:jc w:val="both"/>
        <w:rPr>
          <w:b/>
          <w:bCs/>
          <w:color w:val="36363d"/>
          <w:sz w:val="44"/>
          <w:szCs w:val="44"/>
          <w:vertAlign w:val="superscript"/>
          <w:lang w:val="en-US"/>
        </w:rPr>
      </w:pPr>
      <w:r>
        <w:rPr>
          <w:b/>
          <w:bCs/>
          <w:color w:val="36363d"/>
          <w:sz w:val="44"/>
          <w:szCs w:val="44"/>
          <w:vertAlign w:val="superscript"/>
          <w:lang w:val="en-US"/>
        </w:rPr>
        <w:t xml:space="preserve">1. Capital Adequacy Ratio (X1) </w:t>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 xml:space="preserve">2. Asset Quality Ratio (X2) </w:t>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3. Management Soundness Ratio (X3)</w:t>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4. Earnings and Profitability Ratio (X4)</w:t>
      </w:r>
    </w:p>
    <w:p>
      <w:pPr>
        <w:pStyle w:val="style0"/>
        <w:spacing w:before="60" w:after="60" w:lineRule="auto" w:line="240"/>
        <w:jc w:val="both"/>
        <w:rPr>
          <w:b/>
          <w:bCs/>
          <w:color w:val="36363d"/>
          <w:sz w:val="44"/>
          <w:szCs w:val="44"/>
          <w:vertAlign w:val="superscript"/>
          <w:lang w:val="en-US"/>
        </w:rPr>
      </w:pPr>
      <w:r>
        <w:rPr>
          <w:b/>
          <w:bCs/>
          <w:color w:val="36363d"/>
          <w:sz w:val="44"/>
          <w:szCs w:val="44"/>
          <w:vertAlign w:val="superscript"/>
          <w:lang w:val="en-US"/>
        </w:rPr>
        <w:t xml:space="preserve">5. Liquidity Ratio (X5) </w:t>
      </w: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Variables in the Multiple Regression Analysis – Gross NPA in Public Sector Banks</w:t>
      </w:r>
    </w:p>
    <w:tbl>
      <w:tblPr>
        <w:tblStyle w:val="style1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40"/>
        <w:gridCol w:w="1532"/>
        <w:gridCol w:w="1496"/>
        <w:gridCol w:w="1521"/>
        <w:gridCol w:w="1477"/>
        <w:gridCol w:w="1463"/>
      </w:tblGrid>
      <w:tr>
        <w:trPr/>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VARIABLE</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Uns</w:t>
            </w:r>
            <w:r>
              <w:rPr>
                <w:b/>
                <w:bCs/>
                <w:color w:val="36363d"/>
                <w:sz w:val="32"/>
                <w:szCs w:val="32"/>
                <w:vertAlign w:val="superscript"/>
                <w:lang w:val="en-US"/>
              </w:rPr>
              <w:t>tadarized coefficient</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 xml:space="preserve">      Standardize Ccofficent</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T</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pPr>
            <w:r>
              <w:rPr>
                <w:lang w:val="en-US"/>
              </w:rPr>
              <w:t xml:space="preserve">Sig. </w:t>
            </w:r>
          </w:p>
        </w:tc>
      </w:tr>
      <w:tr>
        <w:tblPrEx/>
        <w:trPr/>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B</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Standard error</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B</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pPr>
          </w:p>
        </w:tc>
      </w:tr>
      <w:tr>
        <w:tblPrEx/>
        <w:trPr/>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Constant</w:t>
            </w:r>
          </w:p>
          <w:p>
            <w:pPr>
              <w:pStyle w:val="style0"/>
              <w:spacing w:before="60" w:after="60" w:lineRule="auto" w:line="240"/>
              <w:rPr>
                <w:b/>
                <w:bCs/>
                <w:color w:val="36363d"/>
                <w:sz w:val="32"/>
                <w:szCs w:val="32"/>
                <w:vertAlign w:val="superscript"/>
              </w:rPr>
            </w:pP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5.408</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0.139</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10.367</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pPr>
            <w:r>
              <w:rPr>
                <w:lang w:val="en-US"/>
              </w:rPr>
              <w:t>0.000</w:t>
            </w:r>
          </w:p>
        </w:tc>
      </w:tr>
      <w:tr>
        <w:tblPrEx/>
        <w:trPr/>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Capital adequacy ratio</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0.541</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0.160</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-0. 291</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-2. 639</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pPr>
            <w:r>
              <w:rPr>
                <w:lang w:val="en-US"/>
              </w:rPr>
              <w:t>0.107</w:t>
            </w:r>
          </w:p>
        </w:tc>
      </w:tr>
      <w:tr>
        <w:tblPrEx/>
        <w:trPr/>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Assets quality ratio</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0.629</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0.148</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0.001</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0.008</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pPr>
            <w:r>
              <w:rPr>
                <w:lang w:val="en-US"/>
              </w:rPr>
              <w:t>0.683</w:t>
            </w:r>
          </w:p>
        </w:tc>
      </w:tr>
      <w:tr>
        <w:tblPrEx/>
        <w:trPr/>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 xml:space="preserve">Management </w:t>
            </w:r>
            <w:r>
              <w:rPr>
                <w:b/>
                <w:bCs/>
                <w:color w:val="36363d"/>
                <w:sz w:val="32"/>
                <w:szCs w:val="32"/>
                <w:vertAlign w:val="superscript"/>
                <w:lang w:val="en-US"/>
              </w:rPr>
              <w:t>soundenes ratio</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0.344</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0.267</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0.218</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1.399</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pPr>
            <w:r>
              <w:rPr>
                <w:lang w:val="en-US"/>
              </w:rPr>
              <w:t>0.006</w:t>
            </w:r>
          </w:p>
        </w:tc>
      </w:tr>
      <w:tr>
        <w:tblPrEx/>
        <w:trPr/>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Earnings and Profitability Ratio</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0.603</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0.163</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0.149</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2.697</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pPr>
            <w:r>
              <w:rPr>
                <w:lang w:val="en-US"/>
              </w:rPr>
              <w:t>0.371</w:t>
            </w:r>
          </w:p>
        </w:tc>
      </w:tr>
      <w:tr>
        <w:tblPrEx/>
        <w:trPr/>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Liquidity ratio</w:t>
            </w:r>
          </w:p>
          <w:p>
            <w:pPr>
              <w:pStyle w:val="style0"/>
              <w:spacing w:before="60" w:after="60" w:lineRule="auto" w:line="240"/>
              <w:rPr>
                <w:b/>
                <w:bCs/>
                <w:color w:val="36363d"/>
                <w:sz w:val="32"/>
                <w:szCs w:val="32"/>
                <w:vertAlign w:val="superscript"/>
              </w:rPr>
            </w:pP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0.841</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0.150</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0.367</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r>
              <w:rPr>
                <w:b/>
                <w:bCs/>
                <w:color w:val="36363d"/>
                <w:sz w:val="32"/>
                <w:szCs w:val="32"/>
                <w:vertAlign w:val="superscript"/>
                <w:lang w:val="en-US"/>
              </w:rPr>
              <w:t>3.161</w:t>
            </w:r>
          </w:p>
        </w:tc>
        <w:tc>
          <w:tcPr>
            <w:tcW w:w="15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pPr>
            <w:r>
              <w:rPr>
                <w:lang w:val="en-US"/>
              </w:rPr>
              <w:t>0.195</w:t>
            </w:r>
          </w:p>
        </w:tc>
      </w:tr>
    </w:tbl>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lang w:val="en-US"/>
        </w:rPr>
      </w:pPr>
    </w:p>
    <w:p>
      <w:pPr>
        <w:pStyle w:val="style0"/>
        <w:spacing w:before="60" w:after="60" w:lineRule="auto" w:line="240"/>
        <w:jc w:val="both"/>
        <w:rPr>
          <w:b/>
          <w:bCs/>
          <w:color w:val="36363d"/>
          <w:sz w:val="44"/>
          <w:szCs w:val="44"/>
          <w:vertAlign w:val="superscript"/>
          <w:lang w:val="en-US"/>
        </w:rPr>
      </w:pPr>
      <w:r>
        <w:rPr>
          <w:b/>
          <w:bCs/>
          <w:color w:val="36363d"/>
          <w:sz w:val="44"/>
          <w:szCs w:val="44"/>
          <w:vertAlign w:val="superscript"/>
          <w:lang w:val="en-US"/>
        </w:rPr>
        <w:t xml:space="preserve">I have taken Multiple regression model where we can found the the solution by the </w:t>
      </w:r>
      <w:r>
        <w:rPr>
          <w:b/>
          <w:bCs/>
          <w:color w:val="36363d"/>
          <w:sz w:val="44"/>
          <w:szCs w:val="44"/>
          <w:vertAlign w:val="superscript"/>
          <w:lang w:val="en-US"/>
        </w:rPr>
        <w:t xml:space="preserve">regression model that </w:t>
      </w:r>
      <w:r>
        <w:rPr>
          <w:b/>
          <w:bCs/>
          <w:color w:val="36363d"/>
          <w:sz w:val="44"/>
          <w:szCs w:val="44"/>
          <w:vertAlign w:val="superscript"/>
          <w:lang w:val="en-US"/>
        </w:rPr>
        <w:t xml:space="preserve">is </w:t>
      </w:r>
      <w:r>
        <w:rPr>
          <w:b/>
          <w:bCs/>
          <w:color w:val="36363d"/>
          <w:sz w:val="44"/>
          <w:szCs w:val="44"/>
          <w:vertAlign w:val="superscript"/>
          <w:lang w:val="en-US"/>
        </w:rPr>
        <w:t>:</w:t>
      </w:r>
      <w:r>
        <w:rPr>
          <w:b/>
          <w:bCs/>
          <w:color w:val="36363d"/>
          <w:sz w:val="44"/>
          <w:szCs w:val="44"/>
          <w:vertAlign w:val="superscript"/>
          <w:lang w:val="en-US"/>
        </w:rPr>
        <w:t xml:space="preserve">- </w:t>
      </w:r>
      <w:r>
        <w:rPr>
          <w:b/>
          <w:bCs/>
          <w:color w:val="36363d"/>
          <w:sz w:val="44"/>
          <w:szCs w:val="44"/>
          <w:vertAlign w:val="superscript"/>
          <w:lang w:val="en-US"/>
        </w:rPr>
        <w:t>Y</w:t>
      </w:r>
      <w:r>
        <w:rPr>
          <w:b/>
          <w:bCs/>
          <w:color w:val="36363d"/>
          <w:sz w:val="44"/>
          <w:szCs w:val="44"/>
          <w:vertAlign w:val="superscript"/>
          <w:lang w:val="en-US"/>
        </w:rPr>
        <w:t>=</w:t>
      </w:r>
      <w:r>
        <w:rPr>
          <w:b/>
          <w:bCs/>
          <w:color w:val="36363d"/>
          <w:sz w:val="44"/>
          <w:szCs w:val="44"/>
          <w:vertAlign w:val="superscript"/>
          <w:lang w:val="en-US"/>
        </w:rPr>
        <w:t xml:space="preserve"> </w:t>
      </w:r>
      <w:r>
        <w:rPr>
          <w:b/>
          <w:bCs/>
          <w:color w:val="36363d"/>
          <w:sz w:val="44"/>
          <w:szCs w:val="44"/>
          <w:vertAlign w:val="superscript"/>
          <w:lang w:val="en-US"/>
        </w:rPr>
        <w:t>a</w:t>
      </w:r>
      <w:r>
        <w:rPr>
          <w:b/>
          <w:bCs/>
          <w:color w:val="36363d"/>
          <w:sz w:val="44"/>
          <w:szCs w:val="44"/>
          <w:vertAlign w:val="superscript"/>
          <w:lang w:val="en-US"/>
        </w:rPr>
        <w:t xml:space="preserve"> </w:t>
      </w:r>
      <w:r>
        <w:rPr>
          <w:b/>
          <w:bCs/>
          <w:color w:val="36363d"/>
          <w:sz w:val="44"/>
          <w:szCs w:val="44"/>
          <w:vertAlign w:val="superscript"/>
          <w:lang w:val="en-US"/>
        </w:rPr>
        <w:t>+</w:t>
      </w:r>
      <w:r>
        <w:rPr>
          <w:b/>
          <w:bCs/>
          <w:color w:val="36363d"/>
          <w:sz w:val="44"/>
          <w:szCs w:val="44"/>
          <w:vertAlign w:val="superscript"/>
          <w:lang w:val="en-US"/>
        </w:rPr>
        <w:t xml:space="preserve"> </w:t>
      </w:r>
      <w:r>
        <w:rPr>
          <w:b/>
          <w:bCs/>
          <w:color w:val="36363d"/>
          <w:sz w:val="44"/>
          <w:szCs w:val="44"/>
          <w:vertAlign w:val="superscript"/>
          <w:lang w:val="en-US"/>
        </w:rPr>
        <w:t>bx</w:t>
      </w:r>
    </w:p>
    <w:p>
      <w:pPr>
        <w:pStyle w:val="style0"/>
        <w:spacing w:before="60" w:after="60" w:lineRule="auto" w:line="240"/>
        <w:jc w:val="both"/>
        <w:rPr>
          <w:b/>
          <w:bCs/>
          <w:color w:val="36363d"/>
          <w:sz w:val="44"/>
          <w:szCs w:val="44"/>
          <w:vertAlign w:val="superscript"/>
          <w:lang w:val="en-US"/>
        </w:rPr>
      </w:pPr>
      <w:r>
        <w:rPr>
          <w:b/>
          <w:bCs/>
          <w:color w:val="36363d"/>
          <w:sz w:val="44"/>
          <w:szCs w:val="44"/>
          <w:vertAlign w:val="superscript"/>
          <w:lang w:val="en-US"/>
        </w:rPr>
        <w:t>By this regression model the data are being calculated over the time period</w:t>
      </w:r>
      <w:r>
        <w:rPr>
          <w:b/>
          <w:bCs/>
          <w:color w:val="36363d"/>
          <w:sz w:val="44"/>
          <w:szCs w:val="44"/>
          <w:vertAlign w:val="superscript"/>
          <w:lang w:val="en-US"/>
        </w:rPr>
        <w:t xml:space="preserve"> </w:t>
      </w:r>
      <w:r>
        <w:rPr>
          <w:b/>
          <w:bCs/>
          <w:color w:val="36363d"/>
          <w:sz w:val="44"/>
          <w:szCs w:val="44"/>
          <w:vertAlign w:val="superscript"/>
          <w:lang w:val="en-US"/>
        </w:rPr>
        <w:t xml:space="preserve">and collected data and we have found some solutions for the same. </w:t>
      </w:r>
    </w:p>
    <w:p>
      <w:pPr>
        <w:pStyle w:val="style0"/>
        <w:spacing w:before="60" w:after="60" w:lineRule="auto" w:line="240"/>
        <w:jc w:val="both"/>
        <w:rPr>
          <w:b/>
          <w:bCs/>
          <w:color w:val="36363d"/>
          <w:sz w:val="44"/>
          <w:szCs w:val="44"/>
          <w:vertAlign w:val="superscript"/>
          <w:lang w:val="en-US"/>
        </w:rPr>
      </w:pPr>
    </w:p>
    <w:p>
      <w:pPr>
        <w:pStyle w:val="style0"/>
        <w:spacing w:before="60" w:after="60" w:lineRule="auto" w:line="240"/>
        <w:jc w:val="both"/>
        <w:rPr>
          <w:b/>
          <w:bCs/>
          <w:color w:val="36363d"/>
          <w:sz w:val="44"/>
          <w:szCs w:val="44"/>
          <w:vertAlign w:val="superscript"/>
          <w:lang w:val="en-US"/>
        </w:rPr>
      </w:pP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 xml:space="preserve">The multiple regression equation is </w:t>
      </w:r>
    </w:p>
    <w:p>
      <w:pPr>
        <w:pStyle w:val="style0"/>
        <w:spacing w:before="60" w:after="60" w:lineRule="auto" w:line="240"/>
        <w:jc w:val="both"/>
        <w:rPr>
          <w:b/>
          <w:bCs/>
          <w:color w:val="36363d"/>
          <w:sz w:val="44"/>
          <w:szCs w:val="44"/>
          <w:vertAlign w:val="superscript"/>
          <w:lang w:val="en-US"/>
        </w:rPr>
      </w:pPr>
      <w:r>
        <w:rPr>
          <w:b/>
          <w:bCs/>
          <w:color w:val="36363d"/>
          <w:sz w:val="44"/>
          <w:szCs w:val="44"/>
          <w:vertAlign w:val="superscript"/>
          <w:lang w:val="en-US"/>
        </w:rPr>
        <w:t>Y = 5.408 +0.541X1 + 0.629X2 + 0.344X3 +</w:t>
      </w:r>
      <w:r>
        <w:rPr>
          <w:b/>
          <w:bCs/>
          <w:color w:val="36363d"/>
          <w:sz w:val="44"/>
          <w:szCs w:val="44"/>
          <w:vertAlign w:val="superscript"/>
          <w:lang w:val="en-US"/>
        </w:rPr>
        <w:t xml:space="preserve"> 0.603X4 + 0.8415</w:t>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 xml:space="preserve">Gross NPA influences </w:t>
      </w:r>
    </w:p>
    <w:p>
      <w:pPr>
        <w:pStyle w:val="style0"/>
        <w:spacing w:before="60" w:after="60" w:lineRule="auto" w:line="240"/>
        <w:jc w:val="both"/>
        <w:rPr>
          <w:b/>
          <w:bCs/>
          <w:color w:val="36363d"/>
          <w:sz w:val="32"/>
          <w:szCs w:val="32"/>
          <w:vertAlign w:val="superscript"/>
        </w:rPr>
      </w:pPr>
      <w:r>
        <w:rPr>
          <w:b/>
          <w:bCs/>
          <w:color w:val="36363d"/>
          <w:sz w:val="44"/>
          <w:szCs w:val="44"/>
          <w:vertAlign w:val="superscript"/>
          <w:lang w:val="en-US"/>
        </w:rPr>
        <w:t>a. Capital Adequacy Ratio at 54.1 percent which indicates a positive relationship</w:t>
      </w:r>
      <w:r>
        <w:rPr>
          <w:b/>
          <w:bCs/>
          <w:color w:val="36363d"/>
          <w:sz w:val="32"/>
          <w:szCs w:val="32"/>
          <w:vertAlign w:val="superscript"/>
          <w:lang w:val="en-US"/>
        </w:rPr>
        <w:t>.</w:t>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b. Assets Quality Ratio at 62.9 percent</w:t>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c. Management Soundness Ratio at 34.4 percent.</w:t>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d. Earnings and Profitability Ratio at 60.3 pe</w:t>
      </w:r>
      <w:r>
        <w:rPr>
          <w:b/>
          <w:bCs/>
          <w:color w:val="36363d"/>
          <w:sz w:val="44"/>
          <w:szCs w:val="44"/>
          <w:vertAlign w:val="superscript"/>
          <w:lang w:val="en-US"/>
        </w:rPr>
        <w:t>rcent.</w:t>
      </w:r>
    </w:p>
    <w:p>
      <w:pPr>
        <w:pStyle w:val="style0"/>
        <w:spacing w:before="60" w:after="60" w:lineRule="auto" w:line="240"/>
        <w:jc w:val="both"/>
        <w:rPr>
          <w:b/>
          <w:bCs/>
          <w:color w:val="36363d"/>
          <w:sz w:val="44"/>
          <w:szCs w:val="44"/>
          <w:vertAlign w:val="superscript"/>
        </w:rPr>
      </w:pPr>
      <w:r>
        <w:rPr>
          <w:b/>
          <w:bCs/>
          <w:color w:val="36363d"/>
          <w:sz w:val="44"/>
          <w:szCs w:val="44"/>
          <w:vertAlign w:val="superscript"/>
          <w:lang w:val="en-US"/>
        </w:rPr>
        <w:t>e. Liquidity Ratio at 84.1 percent.</w:t>
      </w: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 xml:space="preserve">Variables in the Multiple Regression Analysis – Gross NPA in Private Sector Banks. </w:t>
      </w:r>
    </w:p>
    <w:tbl>
      <w:tblPr>
        <w:tblStyle w:val="style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31"/>
        <w:gridCol w:w="2103"/>
        <w:gridCol w:w="976"/>
        <w:gridCol w:w="1900"/>
        <w:gridCol w:w="1105"/>
        <w:gridCol w:w="1013"/>
      </w:tblGrid>
      <w:tr>
        <w:trPr>
          <w:trHeight w:val="1095" w:hRule="atLeast"/>
        </w:trPr>
        <w:tc>
          <w:tcPr>
            <w:tcW w:w="1982" w:type="dxa"/>
            <w:vMerge w:val="restart"/>
            <w:tcBorders>
              <w:top w:val="single" w:sz="4" w:space="0" w:color="auto"/>
              <w:left w:val="single" w:sz="4" w:space="0" w:color="auto"/>
              <w:right w:val="single" w:sz="4" w:space="0" w:color="auto"/>
            </w:tcBorders>
          </w:tcPr>
          <w:p>
            <w:pPr>
              <w:pStyle w:val="style0"/>
              <w:spacing w:before="60" w:after="60" w:lineRule="auto" w:line="240"/>
              <w:rPr>
                <w:b/>
                <w:bCs/>
                <w:color w:val="36363d"/>
                <w:sz w:val="40"/>
                <w:szCs w:val="40"/>
                <w:vertAlign w:val="superscript"/>
              </w:rPr>
            </w:pPr>
            <w:r>
              <w:rPr>
                <w:b/>
                <w:bCs/>
                <w:color w:val="36363d"/>
                <w:sz w:val="40"/>
                <w:szCs w:val="40"/>
                <w:vertAlign w:val="superscript"/>
              </w:rPr>
              <w:t>VARIABLES</w:t>
            </w:r>
          </w:p>
        </w:tc>
        <w:tc>
          <w:tcPr>
            <w:tcW w:w="2412"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0"/>
                <w:szCs w:val="40"/>
                <w:vertAlign w:val="superscript"/>
              </w:rPr>
            </w:pPr>
            <w:r>
              <w:rPr>
                <w:b/>
                <w:bCs/>
                <w:color w:val="36363d"/>
                <w:sz w:val="40"/>
                <w:szCs w:val="40"/>
                <w:vertAlign w:val="superscript"/>
              </w:rPr>
              <w:t>unstandardised data</w:t>
            </w:r>
          </w:p>
        </w:tc>
        <w:tc>
          <w:tcPr>
            <w:tcW w:w="113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p>
        </w:tc>
        <w:tc>
          <w:tcPr>
            <w:tcW w:w="1134"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standardised data</w:t>
            </w:r>
          </w:p>
        </w:tc>
        <w:tc>
          <w:tcPr>
            <w:tcW w:w="1018"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p>
        </w:tc>
        <w:tc>
          <w:tcPr>
            <w:tcW w:w="1340" w:type="dxa"/>
            <w:vMerge w:val="restart"/>
            <w:tcBorders>
              <w:top w:val="single" w:sz="4" w:space="0" w:color="auto"/>
              <w:left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Sig.</w:t>
            </w:r>
          </w:p>
        </w:tc>
      </w:tr>
      <w:tr>
        <w:tblPrEx/>
        <w:trPr>
          <w:trHeight w:val="280" w:hRule="atLeast"/>
        </w:trPr>
        <w:tc>
          <w:tcPr>
            <w:tcW w:w="1982" w:type="dxa"/>
            <w:vMerge w:val="continue"/>
            <w:tcBorders>
              <w:left w:val="single" w:sz="4" w:space="0" w:color="auto"/>
              <w:bottom w:val="single" w:sz="4" w:space="0" w:color="auto"/>
              <w:right w:val="single" w:sz="4" w:space="0" w:color="auto"/>
            </w:tcBorders>
          </w:tcPr>
          <w:p>
            <w:pPr>
              <w:pStyle w:val="style0"/>
              <w:spacing w:before="60" w:after="60" w:lineRule="auto" w:line="240"/>
              <w:rPr>
                <w:b/>
                <w:bCs/>
                <w:color w:val="36363d"/>
                <w:sz w:val="56"/>
                <w:szCs w:val="56"/>
                <w:vertAlign w:val="superscript"/>
              </w:rPr>
            </w:pPr>
          </w:p>
        </w:tc>
        <w:tc>
          <w:tcPr>
            <w:tcW w:w="2412"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0"/>
                <w:szCs w:val="40"/>
                <w:vertAlign w:val="superscript"/>
              </w:rPr>
            </w:pPr>
            <w:r>
              <w:rPr>
                <w:b/>
                <w:bCs/>
                <w:color w:val="36363d"/>
                <w:sz w:val="40"/>
                <w:szCs w:val="40"/>
                <w:vertAlign w:val="superscript"/>
              </w:rPr>
              <w:t>BETA</w:t>
            </w:r>
          </w:p>
        </w:tc>
        <w:tc>
          <w:tcPr>
            <w:tcW w:w="113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Std. error</w:t>
            </w:r>
          </w:p>
        </w:tc>
        <w:tc>
          <w:tcPr>
            <w:tcW w:w="1134"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Beta</w:t>
            </w:r>
          </w:p>
        </w:tc>
        <w:tc>
          <w:tcPr>
            <w:tcW w:w="1018"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T</w:t>
            </w:r>
          </w:p>
        </w:tc>
        <w:tc>
          <w:tcPr>
            <w:tcW w:w="1340" w:type="dxa"/>
            <w:vMerge w:val="continue"/>
            <w:tcBorders>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p>
        </w:tc>
      </w:tr>
      <w:tr>
        <w:tblPrEx/>
        <w:trPr/>
        <w:tc>
          <w:tcPr>
            <w:tcW w:w="1982"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p>
        </w:tc>
        <w:tc>
          <w:tcPr>
            <w:tcW w:w="2412"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6"/>
                <w:szCs w:val="36"/>
                <w:vertAlign w:val="superscript"/>
              </w:rPr>
            </w:pPr>
          </w:p>
        </w:tc>
        <w:tc>
          <w:tcPr>
            <w:tcW w:w="113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32"/>
                <w:szCs w:val="32"/>
                <w:vertAlign w:val="superscript"/>
              </w:rPr>
            </w:pPr>
          </w:p>
        </w:tc>
        <w:tc>
          <w:tcPr>
            <w:tcW w:w="1134"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p>
        </w:tc>
        <w:tc>
          <w:tcPr>
            <w:tcW w:w="1018"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p>
        </w:tc>
        <w:tc>
          <w:tcPr>
            <w:tcW w:w="13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p>
        </w:tc>
      </w:tr>
      <w:tr>
        <w:tblPrEx/>
        <w:trPr/>
        <w:tc>
          <w:tcPr>
            <w:tcW w:w="1982"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Constant</w:t>
            </w:r>
          </w:p>
        </w:tc>
        <w:tc>
          <w:tcPr>
            <w:tcW w:w="2412"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4.836</w:t>
            </w:r>
          </w:p>
        </w:tc>
        <w:tc>
          <w:tcPr>
            <w:tcW w:w="113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0.047</w:t>
            </w:r>
          </w:p>
        </w:tc>
        <w:tc>
          <w:tcPr>
            <w:tcW w:w="1134"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p>
        </w:tc>
        <w:tc>
          <w:tcPr>
            <w:tcW w:w="1018"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19.489</w:t>
            </w:r>
          </w:p>
        </w:tc>
        <w:tc>
          <w:tcPr>
            <w:tcW w:w="13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0.000</w:t>
            </w:r>
          </w:p>
        </w:tc>
      </w:tr>
      <w:tr>
        <w:tblPrEx/>
        <w:trPr/>
        <w:tc>
          <w:tcPr>
            <w:tcW w:w="1982"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Capital adequacy ratio</w:t>
            </w:r>
          </w:p>
        </w:tc>
        <w:tc>
          <w:tcPr>
            <w:tcW w:w="2412"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0.638</w:t>
            </w:r>
          </w:p>
        </w:tc>
        <w:tc>
          <w:tcPr>
            <w:tcW w:w="113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0.191</w:t>
            </w:r>
          </w:p>
        </w:tc>
        <w:tc>
          <w:tcPr>
            <w:tcW w:w="1134"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--0.184</w:t>
            </w:r>
          </w:p>
        </w:tc>
        <w:tc>
          <w:tcPr>
            <w:tcW w:w="1018"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-9.788</w:t>
            </w:r>
          </w:p>
        </w:tc>
        <w:tc>
          <w:tcPr>
            <w:tcW w:w="13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0.002</w:t>
            </w:r>
          </w:p>
        </w:tc>
      </w:tr>
      <w:tr>
        <w:tblPrEx/>
        <w:trPr/>
        <w:tc>
          <w:tcPr>
            <w:tcW w:w="1982"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Assets quality ratio</w:t>
            </w:r>
          </w:p>
        </w:tc>
        <w:tc>
          <w:tcPr>
            <w:tcW w:w="2412"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0.703</w:t>
            </w:r>
          </w:p>
        </w:tc>
        <w:tc>
          <w:tcPr>
            <w:tcW w:w="113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0.160</w:t>
            </w:r>
          </w:p>
        </w:tc>
        <w:tc>
          <w:tcPr>
            <w:tcW w:w="1134"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0.052</w:t>
            </w:r>
          </w:p>
        </w:tc>
        <w:tc>
          <w:tcPr>
            <w:tcW w:w="1018"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4.252</w:t>
            </w:r>
          </w:p>
        </w:tc>
        <w:tc>
          <w:tcPr>
            <w:tcW w:w="13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0.011</w:t>
            </w:r>
          </w:p>
        </w:tc>
      </w:tr>
      <w:tr>
        <w:tblPrEx/>
        <w:trPr/>
        <w:tc>
          <w:tcPr>
            <w:tcW w:w="1982"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Management soundness ratio</w:t>
            </w:r>
          </w:p>
        </w:tc>
        <w:tc>
          <w:tcPr>
            <w:tcW w:w="2412"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0.818</w:t>
            </w:r>
          </w:p>
        </w:tc>
        <w:tc>
          <w:tcPr>
            <w:tcW w:w="113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0.316</w:t>
            </w:r>
          </w:p>
        </w:tc>
        <w:tc>
          <w:tcPr>
            <w:tcW w:w="1134"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0.104</w:t>
            </w:r>
          </w:p>
        </w:tc>
        <w:tc>
          <w:tcPr>
            <w:tcW w:w="1018"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9.994</w:t>
            </w:r>
          </w:p>
        </w:tc>
        <w:tc>
          <w:tcPr>
            <w:tcW w:w="13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0.013</w:t>
            </w:r>
          </w:p>
        </w:tc>
      </w:tr>
      <w:tr>
        <w:tblPrEx/>
        <w:trPr/>
        <w:tc>
          <w:tcPr>
            <w:tcW w:w="1982"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Earning and profitable ratio</w:t>
            </w:r>
          </w:p>
        </w:tc>
        <w:tc>
          <w:tcPr>
            <w:tcW w:w="2412"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0.454</w:t>
            </w:r>
          </w:p>
        </w:tc>
        <w:tc>
          <w:tcPr>
            <w:tcW w:w="113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0.018</w:t>
            </w:r>
          </w:p>
        </w:tc>
        <w:tc>
          <w:tcPr>
            <w:tcW w:w="1134"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0.118</w:t>
            </w:r>
          </w:p>
        </w:tc>
        <w:tc>
          <w:tcPr>
            <w:tcW w:w="1018"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4.551</w:t>
            </w:r>
          </w:p>
        </w:tc>
        <w:tc>
          <w:tcPr>
            <w:tcW w:w="13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0.274</w:t>
            </w:r>
          </w:p>
        </w:tc>
      </w:tr>
      <w:tr>
        <w:tblPrEx/>
        <w:trPr/>
        <w:tc>
          <w:tcPr>
            <w:tcW w:w="1982"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Liquidity ratio</w:t>
            </w:r>
          </w:p>
        </w:tc>
        <w:tc>
          <w:tcPr>
            <w:tcW w:w="2412"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0.593</w:t>
            </w:r>
          </w:p>
        </w:tc>
        <w:tc>
          <w:tcPr>
            <w:tcW w:w="113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0.201</w:t>
            </w:r>
          </w:p>
        </w:tc>
        <w:tc>
          <w:tcPr>
            <w:tcW w:w="1134"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0.262</w:t>
            </w:r>
          </w:p>
        </w:tc>
        <w:tc>
          <w:tcPr>
            <w:tcW w:w="1018"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1.750</w:t>
            </w:r>
          </w:p>
        </w:tc>
        <w:tc>
          <w:tcPr>
            <w:tcW w:w="1340" w:type="dxa"/>
            <w:tcBorders>
              <w:top w:val="single" w:sz="4" w:space="0" w:color="auto"/>
              <w:left w:val="single" w:sz="4" w:space="0" w:color="auto"/>
              <w:bottom w:val="single" w:sz="4" w:space="0" w:color="auto"/>
              <w:right w:val="single" w:sz="4" w:space="0" w:color="auto"/>
            </w:tcBorders>
          </w:tcPr>
          <w:p>
            <w:pPr>
              <w:pStyle w:val="style0"/>
              <w:spacing w:before="60" w:after="60" w:lineRule="auto" w:line="240"/>
              <w:rPr>
                <w:b/>
                <w:bCs/>
                <w:color w:val="36363d"/>
                <w:sz w:val="44"/>
                <w:szCs w:val="44"/>
                <w:vertAlign w:val="superscript"/>
              </w:rPr>
            </w:pPr>
            <w:r>
              <w:rPr>
                <w:b/>
                <w:bCs/>
                <w:color w:val="36363d"/>
                <w:sz w:val="44"/>
                <w:szCs w:val="44"/>
                <w:vertAlign w:val="superscript"/>
                <w:lang w:val="en-US"/>
              </w:rPr>
              <w:t>0.116</w:t>
            </w:r>
          </w:p>
        </w:tc>
      </w:tr>
    </w:tbl>
    <w:p>
      <w:pPr>
        <w:pStyle w:val="style0"/>
        <w:spacing w:before="60" w:after="60" w:lineRule="auto" w:line="240"/>
        <w:rPr>
          <w:b/>
          <w:bCs/>
          <w:color w:val="36363d"/>
          <w:sz w:val="32"/>
          <w:szCs w:val="32"/>
          <w:vertAlign w:val="superscript"/>
          <w:lang w:val="en-US"/>
        </w:rPr>
      </w:pPr>
      <w:r>
        <w:rPr>
          <w:b/>
          <w:bCs/>
          <w:noProof/>
          <w:color w:val="36363d"/>
          <w:sz w:val="44"/>
          <w:szCs w:val="44"/>
          <w:vertAlign w:val="superscript"/>
        </w:rPr>
        <mc:AlternateContent>
          <mc:Choice Requires="wps">
            <w:drawing>
              <wp:anchor distT="0" distB="0" distL="0" distR="0" simplePos="false" relativeHeight="2" behindDoc="false" locked="false" layoutInCell="true" allowOverlap="true">
                <wp:simplePos x="0" y="0"/>
                <wp:positionH relativeFrom="column">
                  <wp:posOffset>-3343110</wp:posOffset>
                </wp:positionH>
                <wp:positionV relativeFrom="paragraph">
                  <wp:posOffset>311635</wp:posOffset>
                </wp:positionV>
                <wp:extent cx="360" cy="360"/>
                <wp:effectExtent l="38100" t="38100" r="57150" b="57150"/>
                <wp:wrapNone/>
                <wp:docPr id="1027" name="Ink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360" cy="360"/>
                      </w14:xfrm>
                    </w14:contentPart>
                  </a:graphicData>
                </a:graphic>
              </wp:anchor>
            </w:drawing>
          </mc:Choice>
          <mc:Fallback>
            <w:pict>
              <v:shape id="1027" filled="f" stroked="f" style="position:absolute;margin-left:-263.24pt;margin-top:24.54pt;width:0.03pt;height:0.03pt;z-index:2;mso-position-horizontal-relative:text;mso-position-vertical-relative:text;mso-width-relative:page;mso-height-relative:page;mso-wrap-distance-left:0.0pt;mso-wrap-distance-right:0.0pt;visibility:visible;">
                <v:fill/>
                <o:ink i="AFYdBOQCmAQZCzgJAP7/AwAAAAAAAg4NSBFE56WQAUUyRjJQABUAAIA/AACAPwAAAAAAAAAABQE4&#10;CgwCgwCDiYP+rsz+7ssFATgKDAKDAIOJg/6uzP7uyw==&#10;"/>
              </v:shape>
            </w:pict>
          </mc:Fallback>
        </mc:AlternateContent>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 xml:space="preserve">The multiple regression equation is, </w:t>
      </w:r>
    </w:p>
    <w:p>
      <w:pPr>
        <w:pStyle w:val="style0"/>
        <w:spacing w:before="60" w:after="60" w:lineRule="auto" w:line="240"/>
        <w:rPr>
          <w:b/>
          <w:bCs/>
          <w:color w:val="36363d"/>
          <w:sz w:val="44"/>
          <w:szCs w:val="44"/>
          <w:vertAlign w:val="superscript"/>
          <w:lang w:val="en-US"/>
        </w:rPr>
      </w:pPr>
      <w:r>
        <w:rPr>
          <w:b/>
          <w:bCs/>
          <w:color w:val="36363d"/>
          <w:sz w:val="44"/>
          <w:szCs w:val="44"/>
          <w:vertAlign w:val="superscript"/>
          <w:lang w:val="en-US"/>
        </w:rPr>
        <w:t>Y = 4.836 +0.638X1 + 0.703X2 + 0.818X3 + 0.454X4 + 0.593X5</w:t>
      </w:r>
    </w:p>
    <w:p>
      <w:pPr>
        <w:pStyle w:val="style0"/>
        <w:spacing w:before="60" w:after="60" w:lineRule="auto" w:line="240"/>
        <w:rPr>
          <w:b/>
          <w:bCs/>
          <w:color w:val="36363d"/>
          <w:sz w:val="32"/>
          <w:szCs w:val="32"/>
          <w:vertAlign w:val="superscript"/>
          <w:lang w:val="en-US"/>
        </w:rPr>
      </w:pPr>
    </w:p>
    <w:p>
      <w:pPr>
        <w:pStyle w:val="style0"/>
        <w:spacing w:before="60" w:after="60" w:lineRule="auto" w:line="240"/>
        <w:rPr>
          <w:b/>
          <w:bCs/>
          <w:color w:val="36363d"/>
          <w:sz w:val="32"/>
          <w:szCs w:val="32"/>
          <w:vertAlign w:val="superscript"/>
          <w:lang w:val="en-US"/>
        </w:rPr>
      </w:pPr>
    </w:p>
    <w:p>
      <w:pPr>
        <w:pStyle w:val="style0"/>
        <w:spacing w:before="60" w:after="60" w:lineRule="auto" w:line="240"/>
        <w:rPr>
          <w:b/>
          <w:bCs/>
          <w:color w:val="36363d"/>
          <w:sz w:val="48"/>
          <w:szCs w:val="48"/>
          <w:vertAlign w:val="superscript"/>
          <w:lang w:val="en-US"/>
        </w:rPr>
      </w:pPr>
      <w:r>
        <w:rPr>
          <w:b/>
          <w:bCs/>
          <w:color w:val="36363d"/>
          <w:sz w:val="48"/>
          <w:szCs w:val="48"/>
          <w:vertAlign w:val="superscript"/>
          <w:lang w:val="en-US"/>
        </w:rPr>
        <w:t>IMPACT OF GROSS NPA</w:t>
      </w:r>
    </w:p>
    <w:p>
      <w:pPr>
        <w:pStyle w:val="style0"/>
        <w:spacing w:before="60" w:after="60" w:lineRule="auto" w:line="240"/>
        <w:rPr>
          <w:b/>
          <w:bCs/>
          <w:color w:val="36363d"/>
          <w:sz w:val="32"/>
          <w:szCs w:val="32"/>
          <w:vertAlign w:val="superscript"/>
          <w:lang w:val="en-US"/>
        </w:rPr>
      </w:pPr>
    </w:p>
    <w:p>
      <w:pPr>
        <w:pStyle w:val="style0"/>
        <w:spacing w:before="60" w:after="60" w:lineRule="auto" w:line="240"/>
        <w:rPr>
          <w:b/>
          <w:bCs/>
          <w:color w:val="36363d"/>
          <w:sz w:val="32"/>
          <w:szCs w:val="32"/>
          <w:vertAlign w:val="superscript"/>
          <w:lang w:val="en-US"/>
        </w:rPr>
      </w:pPr>
      <w:r>
        <w:rPr/>
      </w:r>
      <w:r/>
      <w:r>
        <w:rPr/>
      </w:r>
      <w:r>
        <w:rPr/>
        <w:object>
          <v:shape id="1028" type="#_x0000_t75" filled="f" stroked="f" style="margin-left:0.0pt;margin-top:0.0pt;width:453.75pt;height:433.5pt;mso-wrap-distance-left:0.0pt;mso-wrap-distance-right:0.0pt;visibility:visible;">
            <v:imagedata r:id="rId4" embosscolor="white" o:title=""/>
            <v:stroke on="f" joinstyle="miter"/>
            <o:lock aspectratio="true" v:ext="view"/>
            <v:fill/>
          </v:shape>
          <o:OLEObject Type="EMBED" ProgID="Excel.Chart.8" ShapeID="1028" DrawAspect="Content" ObjectID="0" r:id="rId5"/>
        </w:object>
      </w:r>
      <w:r>
        <w:rPr/>
      </w:r>
    </w:p>
    <w:p>
      <w:pPr>
        <w:pStyle w:val="style0"/>
        <w:spacing w:before="60" w:after="60" w:lineRule="auto" w:line="240"/>
        <w:rPr>
          <w:b/>
          <w:bCs/>
          <w:color w:val="36363d"/>
          <w:sz w:val="32"/>
          <w:szCs w:val="32"/>
          <w:vertAlign w:val="superscript"/>
          <w:lang w:val="en-US"/>
        </w:rPr>
      </w:pPr>
    </w:p>
    <w:p>
      <w:pPr>
        <w:pStyle w:val="style0"/>
        <w:spacing w:before="60" w:after="60" w:lineRule="auto" w:line="240"/>
        <w:rPr>
          <w:b/>
          <w:bCs/>
          <w:color w:val="36363d"/>
          <w:sz w:val="32"/>
          <w:szCs w:val="32"/>
          <w:vertAlign w:val="superscript"/>
          <w:lang w:val="en-US"/>
        </w:rPr>
      </w:pPr>
    </w:p>
    <w:p>
      <w:pPr>
        <w:pStyle w:val="style0"/>
        <w:spacing w:before="60" w:after="60" w:lineRule="auto" w:line="240"/>
        <w:rPr>
          <w:b/>
          <w:bCs/>
          <w:color w:val="36363d"/>
          <w:sz w:val="32"/>
          <w:szCs w:val="32"/>
          <w:vertAlign w:val="superscript"/>
          <w:lang w:val="en-US"/>
        </w:rPr>
      </w:pPr>
    </w:p>
    <w:p>
      <w:pPr>
        <w:pStyle w:val="style0"/>
        <w:spacing w:before="60" w:after="60" w:lineRule="auto" w:line="240"/>
        <w:rPr>
          <w:b/>
          <w:bCs/>
          <w:color w:val="36363d"/>
          <w:sz w:val="32"/>
          <w:szCs w:val="32"/>
          <w:vertAlign w:val="superscript"/>
          <w:lang w:val="en-US"/>
        </w:rPr>
      </w:pPr>
    </w:p>
    <w:p>
      <w:pPr>
        <w:pStyle w:val="style0"/>
        <w:spacing w:before="60" w:after="60" w:lineRule="auto" w:line="240"/>
        <w:rPr>
          <w:b/>
          <w:bCs/>
          <w:color w:val="36363d"/>
          <w:sz w:val="32"/>
          <w:szCs w:val="32"/>
          <w:vertAlign w:val="superscript"/>
          <w:lang w:val="en-US"/>
        </w:rPr>
      </w:pPr>
    </w:p>
    <w:p>
      <w:pPr>
        <w:pStyle w:val="style0"/>
        <w:spacing w:before="60" w:after="60" w:lineRule="auto" w:line="240"/>
        <w:rPr>
          <w:b/>
          <w:bCs/>
          <w:color w:val="36363d"/>
          <w:sz w:val="32"/>
          <w:szCs w:val="32"/>
          <w:vertAlign w:val="superscript"/>
          <w:lang w:val="en-US"/>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44"/>
          <w:szCs w:val="44"/>
          <w:vertAlign w:val="superscript"/>
        </w:rPr>
      </w:pPr>
      <w:r>
        <w:rPr>
          <w:b/>
          <w:bCs/>
          <w:color w:val="36363d"/>
          <w:sz w:val="44"/>
          <w:szCs w:val="44"/>
          <w:vertAlign w:val="superscript"/>
        </w:rPr>
        <w:t>VARIABLES IN THE MULTIPLE REGRESSION ANALYSIS – NET NPA IN PUBLIC SECTOR BANKS</w:t>
      </w:r>
    </w:p>
    <w:tbl>
      <w:tblPr>
        <w:tblStyle w:val="style154"/>
        <w:tblW w:w="0" w:type="auto"/>
        <w:tblLook w:val="04A0" w:firstRow="1" w:lastRow="0" w:firstColumn="1" w:lastColumn="0" w:noHBand="0" w:noVBand="1"/>
      </w:tblPr>
      <w:tblGrid>
        <w:gridCol w:w="2222"/>
        <w:gridCol w:w="1435"/>
        <w:gridCol w:w="812"/>
        <w:gridCol w:w="336"/>
        <w:gridCol w:w="1920"/>
        <w:gridCol w:w="1215"/>
        <w:gridCol w:w="1087"/>
      </w:tblGrid>
      <w:tr>
        <w:trPr>
          <w:trHeight w:val="720" w:hRule="atLeast"/>
        </w:trPr>
        <w:tc>
          <w:tcPr>
            <w:tcW w:w="1736" w:type="dxa"/>
            <w:vMerge w:val="restart"/>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 xml:space="preserve">VARIABLES </w:t>
            </w:r>
          </w:p>
        </w:tc>
        <w:tc>
          <w:tcPr>
            <w:tcW w:w="1597" w:type="dxa"/>
            <w:gridSpan w:val="2"/>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Unstandardised data</w:t>
            </w:r>
          </w:p>
        </w:tc>
        <w:tc>
          <w:tcPr>
            <w:tcW w:w="789" w:type="dxa"/>
            <w:tcBorders/>
          </w:tcPr>
          <w:p>
            <w:pPr>
              <w:pStyle w:val="style0"/>
              <w:spacing w:before="60" w:after="60" w:lineRule="auto" w:line="240"/>
              <w:rPr>
                <w:b/>
                <w:bCs/>
                <w:color w:val="36363d"/>
                <w:sz w:val="44"/>
                <w:szCs w:val="44"/>
                <w:vertAlign w:val="superscript"/>
              </w:rPr>
            </w:pPr>
          </w:p>
        </w:tc>
        <w:tc>
          <w:tcPr>
            <w:tcW w:w="1631"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Standardised data</w:t>
            </w:r>
          </w:p>
        </w:tc>
        <w:tc>
          <w:tcPr>
            <w:tcW w:w="1631" w:type="dxa"/>
            <w:vMerge w:val="restart"/>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T</w:t>
            </w:r>
          </w:p>
        </w:tc>
        <w:tc>
          <w:tcPr>
            <w:tcW w:w="1632" w:type="dxa"/>
            <w:vMerge w:val="restart"/>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Sig</w:t>
            </w:r>
          </w:p>
        </w:tc>
      </w:tr>
      <w:tr>
        <w:tblPrEx/>
        <w:trPr>
          <w:trHeight w:val="180" w:hRule="atLeast"/>
        </w:trPr>
        <w:tc>
          <w:tcPr>
            <w:tcW w:w="1736" w:type="dxa"/>
            <w:vMerge w:val="continue"/>
            <w:tcBorders/>
          </w:tcPr>
          <w:p>
            <w:pPr>
              <w:pStyle w:val="style0"/>
              <w:spacing w:before="60" w:after="60" w:lineRule="auto" w:line="240"/>
              <w:rPr>
                <w:b/>
                <w:bCs/>
                <w:color w:val="36363d"/>
                <w:sz w:val="44"/>
                <w:szCs w:val="44"/>
                <w:vertAlign w:val="superscript"/>
              </w:rPr>
            </w:pPr>
          </w:p>
        </w:tc>
        <w:tc>
          <w:tcPr>
            <w:tcW w:w="1012"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B</w:t>
            </w:r>
          </w:p>
        </w:tc>
        <w:tc>
          <w:tcPr>
            <w:tcW w:w="1374" w:type="dxa"/>
            <w:gridSpan w:val="2"/>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Std. Error</w:t>
            </w:r>
          </w:p>
        </w:tc>
        <w:tc>
          <w:tcPr>
            <w:tcW w:w="1631"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Beta</w:t>
            </w:r>
          </w:p>
        </w:tc>
        <w:tc>
          <w:tcPr>
            <w:tcW w:w="1631" w:type="dxa"/>
            <w:vMerge w:val="continue"/>
            <w:tcBorders/>
          </w:tcPr>
          <w:p>
            <w:pPr>
              <w:pStyle w:val="style0"/>
              <w:spacing w:before="60" w:after="60" w:lineRule="auto" w:line="240"/>
              <w:rPr>
                <w:b/>
                <w:bCs/>
                <w:color w:val="36363d"/>
                <w:sz w:val="44"/>
                <w:szCs w:val="44"/>
                <w:vertAlign w:val="superscript"/>
              </w:rPr>
            </w:pPr>
          </w:p>
        </w:tc>
        <w:tc>
          <w:tcPr>
            <w:tcW w:w="1632" w:type="dxa"/>
            <w:vMerge w:val="continue"/>
            <w:tcBorders/>
          </w:tcPr>
          <w:p>
            <w:pPr>
              <w:pStyle w:val="style0"/>
              <w:spacing w:before="60" w:after="60" w:lineRule="auto" w:line="240"/>
              <w:rPr>
                <w:b/>
                <w:bCs/>
                <w:color w:val="36363d"/>
                <w:sz w:val="44"/>
                <w:szCs w:val="44"/>
                <w:vertAlign w:val="superscript"/>
              </w:rPr>
            </w:pPr>
          </w:p>
        </w:tc>
      </w:tr>
      <w:tr>
        <w:tblPrEx/>
        <w:trPr/>
        <w:tc>
          <w:tcPr>
            <w:tcW w:w="1736"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CONSTANT</w:t>
            </w:r>
          </w:p>
        </w:tc>
        <w:tc>
          <w:tcPr>
            <w:tcW w:w="1012"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8.834</w:t>
            </w:r>
          </w:p>
        </w:tc>
        <w:tc>
          <w:tcPr>
            <w:tcW w:w="1374" w:type="dxa"/>
            <w:gridSpan w:val="2"/>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0.104</w:t>
            </w:r>
          </w:p>
        </w:tc>
        <w:tc>
          <w:tcPr>
            <w:tcW w:w="1631" w:type="dxa"/>
            <w:tcBorders/>
          </w:tcPr>
          <w:p>
            <w:pPr>
              <w:pStyle w:val="style0"/>
              <w:spacing w:before="60" w:after="60" w:lineRule="auto" w:line="240"/>
              <w:rPr>
                <w:b/>
                <w:bCs/>
                <w:color w:val="36363d"/>
                <w:sz w:val="44"/>
                <w:szCs w:val="44"/>
                <w:vertAlign w:val="superscript"/>
              </w:rPr>
            </w:pPr>
          </w:p>
        </w:tc>
        <w:tc>
          <w:tcPr>
            <w:tcW w:w="1631"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15.857</w:t>
            </w:r>
          </w:p>
        </w:tc>
        <w:tc>
          <w:tcPr>
            <w:tcW w:w="1632"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0.000</w:t>
            </w:r>
          </w:p>
        </w:tc>
      </w:tr>
      <w:tr>
        <w:tblPrEx/>
        <w:trPr/>
        <w:tc>
          <w:tcPr>
            <w:tcW w:w="1736"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CAPITAL ADEQECY</w:t>
            </w:r>
          </w:p>
        </w:tc>
        <w:tc>
          <w:tcPr>
            <w:tcW w:w="1012"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0.914</w:t>
            </w:r>
          </w:p>
        </w:tc>
        <w:tc>
          <w:tcPr>
            <w:tcW w:w="1374" w:type="dxa"/>
            <w:gridSpan w:val="2"/>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0.305</w:t>
            </w:r>
          </w:p>
        </w:tc>
        <w:tc>
          <w:tcPr>
            <w:tcW w:w="1631"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-0.488</w:t>
            </w:r>
          </w:p>
        </w:tc>
        <w:tc>
          <w:tcPr>
            <w:tcW w:w="1631"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6.260</w:t>
            </w:r>
          </w:p>
        </w:tc>
        <w:tc>
          <w:tcPr>
            <w:tcW w:w="1632"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0.000</w:t>
            </w:r>
          </w:p>
        </w:tc>
      </w:tr>
      <w:tr>
        <w:tblPrEx/>
        <w:trPr/>
        <w:tc>
          <w:tcPr>
            <w:tcW w:w="1736"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 xml:space="preserve">ASSETS QUALITY RATIO </w:t>
            </w:r>
          </w:p>
        </w:tc>
        <w:tc>
          <w:tcPr>
            <w:tcW w:w="1012"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0.162</w:t>
            </w:r>
          </w:p>
        </w:tc>
        <w:tc>
          <w:tcPr>
            <w:tcW w:w="1374" w:type="dxa"/>
            <w:gridSpan w:val="2"/>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0.247</w:t>
            </w:r>
          </w:p>
        </w:tc>
        <w:tc>
          <w:tcPr>
            <w:tcW w:w="1631"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0.071</w:t>
            </w:r>
          </w:p>
        </w:tc>
        <w:tc>
          <w:tcPr>
            <w:tcW w:w="1631"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4.029</w:t>
            </w:r>
          </w:p>
        </w:tc>
        <w:tc>
          <w:tcPr>
            <w:tcW w:w="1632"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0.000</w:t>
            </w:r>
          </w:p>
        </w:tc>
      </w:tr>
      <w:tr>
        <w:tblPrEx/>
        <w:trPr/>
        <w:tc>
          <w:tcPr>
            <w:tcW w:w="1736"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MANAGEMENT SOUNDNESS RATIO</w:t>
            </w:r>
          </w:p>
        </w:tc>
        <w:tc>
          <w:tcPr>
            <w:tcW w:w="1020"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.827</w:t>
            </w:r>
          </w:p>
        </w:tc>
        <w:tc>
          <w:tcPr>
            <w:tcW w:w="1366" w:type="dxa"/>
            <w:gridSpan w:val="2"/>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0.170</w:t>
            </w:r>
          </w:p>
        </w:tc>
        <w:tc>
          <w:tcPr>
            <w:tcW w:w="1631"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0.517</w:t>
            </w:r>
          </w:p>
        </w:tc>
        <w:tc>
          <w:tcPr>
            <w:tcW w:w="1631"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9.097</w:t>
            </w:r>
          </w:p>
        </w:tc>
        <w:tc>
          <w:tcPr>
            <w:tcW w:w="1632"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0.079</w:t>
            </w:r>
          </w:p>
        </w:tc>
      </w:tr>
      <w:tr>
        <w:tblPrEx/>
        <w:trPr/>
        <w:tc>
          <w:tcPr>
            <w:tcW w:w="1736"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EARNINGS AND PROFITABILITY RATIO</w:t>
            </w:r>
          </w:p>
        </w:tc>
        <w:tc>
          <w:tcPr>
            <w:tcW w:w="1020"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0.755</w:t>
            </w:r>
          </w:p>
        </w:tc>
        <w:tc>
          <w:tcPr>
            <w:tcW w:w="1366" w:type="dxa"/>
            <w:gridSpan w:val="2"/>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0.282</w:t>
            </w:r>
          </w:p>
        </w:tc>
        <w:tc>
          <w:tcPr>
            <w:tcW w:w="1631"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0.430</w:t>
            </w:r>
          </w:p>
        </w:tc>
        <w:tc>
          <w:tcPr>
            <w:tcW w:w="1631"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13.454</w:t>
            </w:r>
          </w:p>
        </w:tc>
        <w:tc>
          <w:tcPr>
            <w:tcW w:w="1632"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0.003</w:t>
            </w:r>
          </w:p>
        </w:tc>
      </w:tr>
      <w:tr>
        <w:tblPrEx/>
        <w:trPr/>
        <w:tc>
          <w:tcPr>
            <w:tcW w:w="1736"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LIQIDITY RATIO</w:t>
            </w:r>
          </w:p>
        </w:tc>
        <w:tc>
          <w:tcPr>
            <w:tcW w:w="1020"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0.652</w:t>
            </w:r>
          </w:p>
        </w:tc>
        <w:tc>
          <w:tcPr>
            <w:tcW w:w="1366" w:type="dxa"/>
            <w:gridSpan w:val="2"/>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0.416</w:t>
            </w:r>
          </w:p>
        </w:tc>
        <w:tc>
          <w:tcPr>
            <w:tcW w:w="1631"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0.149</w:t>
            </w:r>
          </w:p>
        </w:tc>
        <w:tc>
          <w:tcPr>
            <w:tcW w:w="1631"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11.798</w:t>
            </w:r>
          </w:p>
        </w:tc>
        <w:tc>
          <w:tcPr>
            <w:tcW w:w="1632" w:type="dxa"/>
            <w:tcBorders/>
          </w:tcPr>
          <w:p>
            <w:pPr>
              <w:pStyle w:val="style0"/>
              <w:spacing w:before="60" w:after="60" w:lineRule="auto" w:line="240"/>
              <w:rPr>
                <w:b/>
                <w:bCs/>
                <w:color w:val="36363d"/>
                <w:sz w:val="44"/>
                <w:szCs w:val="44"/>
                <w:vertAlign w:val="superscript"/>
              </w:rPr>
            </w:pPr>
            <w:r>
              <w:rPr>
                <w:b/>
                <w:bCs/>
                <w:color w:val="36363d"/>
                <w:sz w:val="44"/>
                <w:szCs w:val="44"/>
                <w:vertAlign w:val="superscript"/>
              </w:rPr>
              <w:t>0.017</w:t>
            </w:r>
          </w:p>
        </w:tc>
      </w:tr>
    </w:tbl>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 xml:space="preserve">The multiple regression equation is </w:t>
      </w:r>
      <w:r>
        <w:rPr>
          <w:b/>
          <w:bCs/>
          <w:color w:val="36363d"/>
          <w:sz w:val="44"/>
          <w:szCs w:val="44"/>
          <w:vertAlign w:val="superscript"/>
          <w:lang w:val="en-US"/>
        </w:rPr>
        <w:cr/>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Y= 8.834 +0.914X1 + 0.162X2 + 0.827X3 + 0.755X4 + 0.652X5</w:t>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 xml:space="preserve">Net NPA influences </w:t>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a) Capital Adequacy Ratio at 91.4 per cent which indicates a positive relationship.</w:t>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 xml:space="preserve">b) Assets </w:t>
      </w:r>
      <w:r>
        <w:rPr>
          <w:b/>
          <w:bCs/>
          <w:color w:val="36363d"/>
          <w:sz w:val="44"/>
          <w:szCs w:val="44"/>
          <w:vertAlign w:val="superscript"/>
          <w:lang w:val="en-US"/>
        </w:rPr>
        <w:t>Quality Ratio at 16.2 per cent</w:t>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c) Management Soundness Ratio at 82.7 per cent</w:t>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d) Earnings and Profitability Ratio at 75.5 per cent</w:t>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e) Liquidity Ratio at 65.2 per cent</w:t>
      </w:r>
      <w:r>
        <w:rPr>
          <w:b/>
          <w:bCs/>
          <w:color w:val="36363d"/>
          <w:sz w:val="44"/>
          <w:szCs w:val="44"/>
          <w:vertAlign w:val="superscript"/>
          <w:lang w:val="en-US"/>
        </w:rPr>
        <w:cr/>
      </w: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lang w:val="en-US"/>
        </w:rPr>
      </w:pP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Variables in the Multiple Regression Analysis – Net NPA in Private Sector Banks</w:t>
      </w:r>
    </w:p>
    <w:p>
      <w:pPr>
        <w:pStyle w:val="style0"/>
        <w:spacing w:before="60" w:after="60" w:lineRule="auto" w:line="240"/>
        <w:rPr>
          <w:b/>
          <w:bCs/>
          <w:color w:val="36363d"/>
          <w:sz w:val="32"/>
          <w:szCs w:val="32"/>
          <w:vertAlign w:val="superscript"/>
        </w:rPr>
      </w:pPr>
    </w:p>
    <w:tbl>
      <w:tblPr>
        <w:tblStyle w:val="style154"/>
        <w:tblW w:w="0" w:type="auto"/>
        <w:tblLook w:val="04A0" w:firstRow="1" w:lastRow="0" w:firstColumn="1" w:lastColumn="0" w:noHBand="0" w:noVBand="1"/>
      </w:tblPr>
      <w:tblGrid>
        <w:gridCol w:w="1673"/>
        <w:gridCol w:w="1671"/>
        <w:gridCol w:w="1401"/>
        <w:gridCol w:w="1481"/>
        <w:gridCol w:w="1401"/>
        <w:gridCol w:w="1401"/>
      </w:tblGrid>
      <w:tr>
        <w:trPr>
          <w:trHeight w:val="735" w:hRule="atLeast"/>
        </w:trPr>
        <w:tc>
          <w:tcPr>
            <w:tcW w:w="1498" w:type="dxa"/>
            <w:vMerge w:val="restart"/>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VARI</w:t>
            </w:r>
            <w:r>
              <w:rPr>
                <w:b/>
                <w:bCs/>
                <w:color w:val="36363d"/>
                <w:sz w:val="32"/>
                <w:szCs w:val="32"/>
                <w:vertAlign w:val="superscript"/>
              </w:rPr>
              <w:t>BLES</w:t>
            </w:r>
          </w:p>
        </w:tc>
        <w:tc>
          <w:tcPr>
            <w:tcW w:w="1572"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unstandardised cofficients</w:t>
            </w:r>
          </w:p>
        </w:tc>
        <w:tc>
          <w:tcPr>
            <w:tcW w:w="1486" w:type="dxa"/>
            <w:tcBorders/>
          </w:tcPr>
          <w:p>
            <w:pPr>
              <w:pStyle w:val="style0"/>
              <w:spacing w:before="60" w:after="60" w:lineRule="auto" w:line="240"/>
              <w:rPr>
                <w:b/>
                <w:bCs/>
                <w:color w:val="36363d"/>
                <w:sz w:val="32"/>
                <w:szCs w:val="32"/>
                <w:vertAlign w:val="superscript"/>
              </w:rPr>
            </w:pPr>
          </w:p>
        </w:tc>
        <w:tc>
          <w:tcPr>
            <w:tcW w:w="1486"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standardized cofficients</w:t>
            </w:r>
          </w:p>
        </w:tc>
        <w:tc>
          <w:tcPr>
            <w:tcW w:w="1487" w:type="dxa"/>
            <w:vMerge w:val="restart"/>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T</w:t>
            </w:r>
          </w:p>
        </w:tc>
        <w:tc>
          <w:tcPr>
            <w:tcW w:w="1487" w:type="dxa"/>
            <w:vMerge w:val="restart"/>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Sig</w:t>
            </w:r>
          </w:p>
        </w:tc>
      </w:tr>
      <w:tr>
        <w:tblPrEx/>
        <w:trPr>
          <w:trHeight w:val="165" w:hRule="atLeast"/>
        </w:trPr>
        <w:tc>
          <w:tcPr>
            <w:tcW w:w="1498" w:type="dxa"/>
            <w:vMerge w:val="continue"/>
            <w:tcBorders/>
          </w:tcPr>
          <w:p>
            <w:pPr>
              <w:pStyle w:val="style0"/>
              <w:spacing w:before="60" w:after="60" w:lineRule="auto" w:line="240"/>
              <w:rPr>
                <w:b/>
                <w:bCs/>
                <w:color w:val="36363d"/>
                <w:sz w:val="32"/>
                <w:szCs w:val="32"/>
                <w:vertAlign w:val="superscript"/>
              </w:rPr>
            </w:pPr>
          </w:p>
        </w:tc>
        <w:tc>
          <w:tcPr>
            <w:tcW w:w="1572"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B</w:t>
            </w:r>
          </w:p>
        </w:tc>
        <w:tc>
          <w:tcPr>
            <w:tcW w:w="1486"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Std. error</w:t>
            </w:r>
          </w:p>
        </w:tc>
        <w:tc>
          <w:tcPr>
            <w:tcW w:w="1486"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Beta</w:t>
            </w:r>
          </w:p>
        </w:tc>
        <w:tc>
          <w:tcPr>
            <w:tcW w:w="1487" w:type="dxa"/>
            <w:vMerge w:val="continue"/>
            <w:tcBorders/>
          </w:tcPr>
          <w:p>
            <w:pPr>
              <w:pStyle w:val="style0"/>
              <w:spacing w:before="60" w:after="60" w:lineRule="auto" w:line="240"/>
              <w:rPr>
                <w:b/>
                <w:bCs/>
                <w:color w:val="36363d"/>
                <w:sz w:val="32"/>
                <w:szCs w:val="32"/>
                <w:vertAlign w:val="superscript"/>
              </w:rPr>
            </w:pPr>
          </w:p>
        </w:tc>
        <w:tc>
          <w:tcPr>
            <w:tcW w:w="1487" w:type="dxa"/>
            <w:vMerge w:val="continue"/>
            <w:tcBorders/>
          </w:tcPr>
          <w:p>
            <w:pPr>
              <w:pStyle w:val="style0"/>
              <w:spacing w:before="60" w:after="60" w:lineRule="auto" w:line="240"/>
              <w:rPr>
                <w:b/>
                <w:bCs/>
                <w:color w:val="36363d"/>
                <w:sz w:val="32"/>
                <w:szCs w:val="32"/>
                <w:vertAlign w:val="superscript"/>
              </w:rPr>
            </w:pPr>
          </w:p>
        </w:tc>
      </w:tr>
      <w:tr>
        <w:tblPrEx/>
        <w:trPr/>
        <w:tc>
          <w:tcPr>
            <w:tcW w:w="1498"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CONSTANT</w:t>
            </w:r>
          </w:p>
        </w:tc>
        <w:tc>
          <w:tcPr>
            <w:tcW w:w="1572"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4.343</w:t>
            </w:r>
          </w:p>
        </w:tc>
        <w:tc>
          <w:tcPr>
            <w:tcW w:w="1486"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0.162</w:t>
            </w:r>
          </w:p>
        </w:tc>
        <w:tc>
          <w:tcPr>
            <w:tcW w:w="1486" w:type="dxa"/>
            <w:tcBorders/>
          </w:tcPr>
          <w:p>
            <w:pPr>
              <w:pStyle w:val="style0"/>
              <w:spacing w:before="60" w:after="60" w:lineRule="auto" w:line="240"/>
              <w:rPr>
                <w:b/>
                <w:bCs/>
                <w:color w:val="36363d"/>
                <w:sz w:val="32"/>
                <w:szCs w:val="32"/>
                <w:vertAlign w:val="superscript"/>
              </w:rPr>
            </w:pPr>
          </w:p>
        </w:tc>
        <w:tc>
          <w:tcPr>
            <w:tcW w:w="1487"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25.53</w:t>
            </w:r>
          </w:p>
        </w:tc>
        <w:tc>
          <w:tcPr>
            <w:tcW w:w="1487"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0.000</w:t>
            </w:r>
          </w:p>
        </w:tc>
      </w:tr>
      <w:tr>
        <w:tblPrEx/>
        <w:trPr/>
        <w:tc>
          <w:tcPr>
            <w:tcW w:w="1498"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CAPITAL ADEQECY RATIO</w:t>
            </w:r>
          </w:p>
        </w:tc>
        <w:tc>
          <w:tcPr>
            <w:tcW w:w="1572"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0.443</w:t>
            </w:r>
          </w:p>
        </w:tc>
        <w:tc>
          <w:tcPr>
            <w:tcW w:w="1486"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0.226</w:t>
            </w:r>
          </w:p>
        </w:tc>
        <w:tc>
          <w:tcPr>
            <w:tcW w:w="1486"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0.185</w:t>
            </w:r>
          </w:p>
        </w:tc>
        <w:tc>
          <w:tcPr>
            <w:tcW w:w="1487"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19.09</w:t>
            </w:r>
          </w:p>
        </w:tc>
        <w:tc>
          <w:tcPr>
            <w:tcW w:w="1487"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0.016</w:t>
            </w:r>
          </w:p>
        </w:tc>
      </w:tr>
      <w:tr>
        <w:tblPrEx/>
        <w:trPr/>
        <w:tc>
          <w:tcPr>
            <w:tcW w:w="1498"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ASSETS QUALITY RATIO</w:t>
            </w:r>
          </w:p>
        </w:tc>
        <w:tc>
          <w:tcPr>
            <w:tcW w:w="1572"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0.734</w:t>
            </w:r>
          </w:p>
        </w:tc>
        <w:tc>
          <w:tcPr>
            <w:tcW w:w="1486"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0.521</w:t>
            </w:r>
          </w:p>
        </w:tc>
        <w:tc>
          <w:tcPr>
            <w:tcW w:w="1486"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0.053</w:t>
            </w:r>
          </w:p>
        </w:tc>
        <w:tc>
          <w:tcPr>
            <w:tcW w:w="1487"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24.38</w:t>
            </w:r>
          </w:p>
        </w:tc>
        <w:tc>
          <w:tcPr>
            <w:tcW w:w="1487"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0.311</w:t>
            </w:r>
          </w:p>
        </w:tc>
      </w:tr>
      <w:tr>
        <w:tblPrEx/>
        <w:trPr/>
        <w:tc>
          <w:tcPr>
            <w:tcW w:w="1498"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 xml:space="preserve">MANAGEMENT  </w:t>
            </w:r>
            <w:r>
              <w:rPr>
                <w:b/>
                <w:bCs/>
                <w:color w:val="36363d"/>
                <w:sz w:val="32"/>
                <w:szCs w:val="32"/>
                <w:vertAlign w:val="superscript"/>
              </w:rPr>
              <w:t>SOUNDNESS RATIO</w:t>
            </w:r>
          </w:p>
        </w:tc>
        <w:tc>
          <w:tcPr>
            <w:tcW w:w="1572"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0.351</w:t>
            </w:r>
          </w:p>
        </w:tc>
        <w:tc>
          <w:tcPr>
            <w:tcW w:w="1486"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0.333</w:t>
            </w:r>
          </w:p>
        </w:tc>
        <w:tc>
          <w:tcPr>
            <w:tcW w:w="1486"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0.03</w:t>
            </w:r>
          </w:p>
        </w:tc>
        <w:tc>
          <w:tcPr>
            <w:tcW w:w="1487"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64.01</w:t>
            </w:r>
          </w:p>
        </w:tc>
        <w:tc>
          <w:tcPr>
            <w:tcW w:w="1487"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0.813</w:t>
            </w:r>
          </w:p>
        </w:tc>
      </w:tr>
      <w:tr>
        <w:tblPrEx/>
        <w:trPr/>
        <w:tc>
          <w:tcPr>
            <w:tcW w:w="1498"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EARNINGS AND PROFITABILITY RATIO</w:t>
            </w:r>
          </w:p>
        </w:tc>
        <w:tc>
          <w:tcPr>
            <w:tcW w:w="1572"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0.492</w:t>
            </w:r>
          </w:p>
        </w:tc>
        <w:tc>
          <w:tcPr>
            <w:tcW w:w="1486"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0.411</w:t>
            </w:r>
          </w:p>
        </w:tc>
        <w:tc>
          <w:tcPr>
            <w:tcW w:w="1486"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0.015</w:t>
            </w:r>
          </w:p>
        </w:tc>
        <w:tc>
          <w:tcPr>
            <w:tcW w:w="1487"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47.86</w:t>
            </w:r>
          </w:p>
        </w:tc>
        <w:tc>
          <w:tcPr>
            <w:tcW w:w="1487"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0.000</w:t>
            </w:r>
          </w:p>
        </w:tc>
      </w:tr>
      <w:tr>
        <w:tblPrEx/>
        <w:trPr/>
        <w:tc>
          <w:tcPr>
            <w:tcW w:w="1498"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LIQUIDITY RATIO</w:t>
            </w:r>
          </w:p>
        </w:tc>
        <w:tc>
          <w:tcPr>
            <w:tcW w:w="1572"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0.411</w:t>
            </w:r>
          </w:p>
        </w:tc>
        <w:tc>
          <w:tcPr>
            <w:tcW w:w="1486"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0.201</w:t>
            </w:r>
          </w:p>
        </w:tc>
        <w:tc>
          <w:tcPr>
            <w:tcW w:w="1486"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0.017</w:t>
            </w:r>
          </w:p>
        </w:tc>
        <w:tc>
          <w:tcPr>
            <w:tcW w:w="1487"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61.12</w:t>
            </w:r>
          </w:p>
        </w:tc>
        <w:tc>
          <w:tcPr>
            <w:tcW w:w="1487" w:type="dxa"/>
            <w:tcBorders/>
          </w:tcPr>
          <w:p>
            <w:pPr>
              <w:pStyle w:val="style0"/>
              <w:spacing w:before="60" w:after="60" w:lineRule="auto" w:line="240"/>
              <w:rPr>
                <w:b/>
                <w:bCs/>
                <w:color w:val="36363d"/>
                <w:sz w:val="32"/>
                <w:szCs w:val="32"/>
                <w:vertAlign w:val="superscript"/>
              </w:rPr>
            </w:pPr>
            <w:r>
              <w:rPr>
                <w:b/>
                <w:bCs/>
                <w:color w:val="36363d"/>
                <w:sz w:val="32"/>
                <w:szCs w:val="32"/>
                <w:vertAlign w:val="superscript"/>
              </w:rPr>
              <w:t>0.005</w:t>
            </w:r>
          </w:p>
        </w:tc>
      </w:tr>
    </w:tbl>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 xml:space="preserve">The multiple regression equation is, </w:t>
      </w:r>
    </w:p>
    <w:p>
      <w:pPr>
        <w:pStyle w:val="style0"/>
        <w:spacing w:before="60" w:after="60" w:lineRule="auto" w:line="240"/>
        <w:rPr>
          <w:b/>
          <w:bCs/>
          <w:color w:val="36363d"/>
          <w:sz w:val="32"/>
          <w:szCs w:val="32"/>
          <w:vertAlign w:val="superscript"/>
        </w:rPr>
      </w:pPr>
      <w:r>
        <w:rPr>
          <w:b/>
          <w:bCs/>
          <w:color w:val="36363d"/>
          <w:sz w:val="44"/>
          <w:szCs w:val="44"/>
          <w:vertAlign w:val="superscript"/>
          <w:lang w:val="en-US"/>
        </w:rPr>
        <w:t xml:space="preserve">Y= 4.343 +0.443X1 + 0.734X2 + 0.351X3 + 0.492X4 + </w:t>
      </w:r>
      <w:r>
        <w:rPr>
          <w:b/>
          <w:bCs/>
          <w:color w:val="36363d"/>
          <w:sz w:val="44"/>
          <w:szCs w:val="44"/>
          <w:vertAlign w:val="superscript"/>
          <w:lang w:val="en-US"/>
        </w:rPr>
        <w:t>0.411X5</w:t>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 xml:space="preserve">Net NPA influences </w:t>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a. Capital Adequacy Ratio at 44.3 per cent which indicates a positive relationship.</w:t>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b. Assets Quality Ratio at 73.4 per cent</w:t>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c. Management Soundness Ratio at 35.1 per cent</w:t>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d. Earnings and Profitability Ratio at 49.2 per c</w:t>
      </w:r>
      <w:r>
        <w:rPr>
          <w:b/>
          <w:bCs/>
          <w:color w:val="36363d"/>
          <w:sz w:val="44"/>
          <w:szCs w:val="44"/>
          <w:vertAlign w:val="superscript"/>
          <w:lang w:val="en-US"/>
        </w:rPr>
        <w:t>ent</w:t>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 xml:space="preserve">e. Liquidity Ratio at 41.1 per cent. </w:t>
      </w: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r>
        <w:rPr/>
      </w:r>
      <w:r/>
      <w:r>
        <w:rPr/>
      </w:r>
      <w:r>
        <w:rPr/>
        <w:object>
          <v:shape id="1030" type="#_x0000_t75" filled="f" stroked="f" style="margin-left:0.0pt;margin-top:0.0pt;width:512.25pt;height:453.0pt;mso-wrap-distance-left:0.0pt;mso-wrap-distance-right:0.0pt;visibility:visible;">
            <v:imagedata r:id="rId6" embosscolor="white" o:title=""/>
            <v:stroke on="f" joinstyle="miter"/>
            <o:lock aspectratio="true" v:ext="view"/>
            <v:fill/>
          </v:shape>
          <o:OLEObject Type="EMBED" ProgID="Excel.Chart.8" ShapeID="1030" DrawAspect="Content" ObjectID="0" r:id="rId7"/>
        </w:object>
      </w:r>
      <w:r>
        <w:rPr/>
      </w: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32"/>
          <w:szCs w:val="32"/>
          <w:vertAlign w:val="superscript"/>
        </w:rPr>
      </w:pP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Management of NPAs:</w:t>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 xml:space="preserve">Banks may reduce their NPA levels by adopting legal as well as non-legal measures. The </w:t>
      </w:r>
      <w:r>
        <w:rPr>
          <w:b/>
          <w:bCs/>
          <w:color w:val="36363d"/>
          <w:sz w:val="44"/>
          <w:szCs w:val="44"/>
          <w:vertAlign w:val="superscript"/>
          <w:lang w:val="en-US"/>
        </w:rPr>
        <w:t>legal measures available for reducing</w:t>
      </w:r>
      <w:r>
        <w:rPr>
          <w:b/>
          <w:bCs/>
          <w:color w:val="36363d"/>
          <w:sz w:val="44"/>
          <w:szCs w:val="44"/>
          <w:vertAlign w:val="superscript"/>
          <w:lang w:val="en-US"/>
        </w:rPr>
        <w:t xml:space="preserve"> NPAs include: </w:t>
      </w:r>
      <w:r>
        <w:rPr>
          <w:b/>
          <w:bCs/>
          <w:color w:val="36363d"/>
          <w:sz w:val="44"/>
          <w:szCs w:val="44"/>
          <w:vertAlign w:val="superscript"/>
          <w:lang w:val="en-US"/>
        </w:rPr>
        <w:cr/>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 xml:space="preserve"> Securitization and Reconstruction of Financial Assets and Enforcement of Security Interest </w:t>
      </w:r>
      <w:r>
        <w:rPr>
          <w:b/>
          <w:bCs/>
          <w:color w:val="36363d"/>
          <w:sz w:val="44"/>
          <w:szCs w:val="44"/>
          <w:vertAlign w:val="superscript"/>
          <w:lang w:val="en-US"/>
        </w:rPr>
        <w:t xml:space="preserve">(SARFAESI) Act 2002, which provides for enforcement of security interest by creditor </w:t>
      </w:r>
      <w:r>
        <w:rPr>
          <w:b/>
          <w:bCs/>
          <w:color w:val="36363d"/>
          <w:sz w:val="44"/>
          <w:szCs w:val="44"/>
          <w:vertAlign w:val="superscript"/>
          <w:lang w:val="en-US"/>
        </w:rPr>
        <w:t xml:space="preserve">without intervention of court. </w:t>
      </w:r>
      <w:r>
        <w:rPr>
          <w:b/>
          <w:bCs/>
          <w:color w:val="36363d"/>
          <w:sz w:val="44"/>
          <w:szCs w:val="44"/>
          <w:vertAlign w:val="superscript"/>
          <w:lang w:val="en-US"/>
        </w:rPr>
        <w:cr/>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 xml:space="preserve"> Compromise Settlement schemes and Lok Adalats forums that provides for settlement of </w:t>
      </w:r>
      <w:r>
        <w:rPr>
          <w:b/>
          <w:bCs/>
          <w:color w:val="36363d"/>
          <w:sz w:val="44"/>
          <w:szCs w:val="44"/>
          <w:vertAlign w:val="superscript"/>
          <w:lang w:val="en-US"/>
        </w:rPr>
        <w:t>dues between borrowers and banks via negotiation,</w:t>
      </w:r>
      <w:r>
        <w:rPr>
          <w:b/>
          <w:bCs/>
          <w:color w:val="36363d"/>
          <w:sz w:val="44"/>
          <w:szCs w:val="44"/>
          <w:vertAlign w:val="superscript"/>
          <w:lang w:val="en-US"/>
        </w:rPr>
        <w:t xml:space="preserve"> </w:t>
      </w:r>
      <w:r>
        <w:rPr>
          <w:b/>
          <w:bCs/>
          <w:color w:val="36363d"/>
          <w:sz w:val="44"/>
          <w:szCs w:val="44"/>
          <w:vertAlign w:val="superscript"/>
          <w:lang w:val="en-US"/>
        </w:rPr>
        <w:t xml:space="preserve">mediation, and conciliation. </w:t>
      </w:r>
      <w:r>
        <w:rPr>
          <w:b/>
          <w:bCs/>
          <w:color w:val="36363d"/>
          <w:sz w:val="44"/>
          <w:szCs w:val="44"/>
          <w:vertAlign w:val="superscript"/>
          <w:lang w:val="en-US"/>
        </w:rPr>
        <w:cr/>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 Debt Recovery Tribunals (DRTs) that help banks and financial institutions for recover</w:t>
      </w:r>
      <w:r>
        <w:rPr>
          <w:b/>
          <w:bCs/>
          <w:color w:val="36363d"/>
          <w:sz w:val="44"/>
          <w:szCs w:val="44"/>
          <w:vertAlign w:val="superscript"/>
          <w:lang w:val="en-US"/>
        </w:rPr>
        <w:t xml:space="preserve">ing </w:t>
      </w:r>
      <w:r>
        <w:rPr>
          <w:b/>
          <w:bCs/>
          <w:color w:val="36363d"/>
          <w:sz w:val="44"/>
          <w:szCs w:val="44"/>
          <w:vertAlign w:val="superscript"/>
          <w:lang w:val="en-US"/>
        </w:rPr>
        <w:t xml:space="preserve">their dues quickly and efficiently. </w:t>
      </w:r>
      <w:r>
        <w:rPr>
          <w:b/>
          <w:bCs/>
          <w:color w:val="36363d"/>
          <w:sz w:val="44"/>
          <w:szCs w:val="44"/>
          <w:vertAlign w:val="superscript"/>
          <w:lang w:val="en-US"/>
        </w:rPr>
        <w:cr/>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 xml:space="preserve"> Asset Reconstruction Companies which purchase NPAs of banks and financial institutions at </w:t>
      </w:r>
      <w:r>
        <w:rPr>
          <w:b/>
          <w:bCs/>
          <w:color w:val="36363d"/>
          <w:sz w:val="44"/>
          <w:szCs w:val="44"/>
          <w:vertAlign w:val="superscript"/>
          <w:lang w:val="en-US"/>
        </w:rPr>
        <w:t xml:space="preserve">discount rate. </w:t>
      </w:r>
      <w:r>
        <w:rPr>
          <w:b/>
          <w:bCs/>
          <w:color w:val="36363d"/>
          <w:sz w:val="44"/>
          <w:szCs w:val="44"/>
          <w:vertAlign w:val="superscript"/>
          <w:lang w:val="en-US"/>
        </w:rPr>
        <w:cr/>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 xml:space="preserve"> Corporate Debt Restructuring (CDR) Scheme for resolution of NPAs of viable corporate </w:t>
      </w:r>
      <w:r>
        <w:rPr>
          <w:b/>
          <w:bCs/>
          <w:color w:val="36363d"/>
          <w:sz w:val="44"/>
          <w:szCs w:val="44"/>
          <w:vertAlign w:val="superscript"/>
          <w:lang w:val="en-US"/>
        </w:rPr>
        <w:t>entities facing</w:t>
      </w:r>
      <w:r>
        <w:rPr>
          <w:b/>
          <w:bCs/>
          <w:color w:val="36363d"/>
          <w:sz w:val="44"/>
          <w:szCs w:val="44"/>
          <w:vertAlign w:val="superscript"/>
          <w:lang w:val="en-US"/>
        </w:rPr>
        <w:t xml:space="preserve"> financial difficulties.</w:t>
      </w:r>
      <w:r>
        <w:rPr>
          <w:b/>
          <w:bCs/>
          <w:color w:val="36363d"/>
          <w:sz w:val="44"/>
          <w:szCs w:val="44"/>
          <w:vertAlign w:val="superscript"/>
          <w:lang w:val="en-US"/>
        </w:rPr>
        <w:t xml:space="preserve"> </w:t>
      </w:r>
      <w:r>
        <w:rPr>
          <w:b/>
          <w:bCs/>
          <w:color w:val="36363d"/>
          <w:sz w:val="44"/>
          <w:szCs w:val="44"/>
          <w:vertAlign w:val="superscript"/>
          <w:lang w:val="en-US"/>
        </w:rPr>
        <w:t>Fin</w:t>
      </w:r>
      <w:r>
        <w:rPr>
          <w:b/>
          <w:bCs/>
          <w:color w:val="36363d"/>
          <w:sz w:val="44"/>
          <w:szCs w:val="44"/>
          <w:vertAlign w:val="superscript"/>
          <w:lang w:val="en-US"/>
        </w:rPr>
        <w:t>a</w:t>
      </w:r>
      <w:r>
        <w:rPr>
          <w:b/>
          <w:bCs/>
          <w:color w:val="36363d"/>
          <w:sz w:val="44"/>
          <w:szCs w:val="44"/>
          <w:vertAlign w:val="superscript"/>
          <w:lang w:val="en-US"/>
        </w:rPr>
        <w:t xml:space="preserve">ncial Resolution and Deposit Insurance (FRDI) Bill, 2017 provides speedy and efficient </w:t>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 xml:space="preserve">resolution of distress for certain categories of financial service providers. </w:t>
      </w:r>
      <w:r>
        <w:rPr>
          <w:b/>
          <w:bCs/>
          <w:color w:val="36363d"/>
          <w:sz w:val="44"/>
          <w:szCs w:val="44"/>
          <w:vertAlign w:val="superscript"/>
          <w:lang w:val="en-US"/>
        </w:rPr>
        <w:cr/>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 Insolvency and Bankruptcy Code (IBC), 2016 resolve the st</w:t>
      </w:r>
      <w:r>
        <w:rPr>
          <w:b/>
          <w:bCs/>
          <w:color w:val="36363d"/>
          <w:sz w:val="44"/>
          <w:szCs w:val="44"/>
          <w:vertAlign w:val="superscript"/>
          <w:lang w:val="en-US"/>
        </w:rPr>
        <w:t xml:space="preserve">ressed assets of banks and </w:t>
      </w:r>
      <w:r>
        <w:rPr>
          <w:b/>
          <w:bCs/>
          <w:color w:val="36363d"/>
          <w:sz w:val="44"/>
          <w:szCs w:val="44"/>
          <w:vertAlign w:val="superscript"/>
          <w:lang w:val="en-US"/>
        </w:rPr>
        <w:t xml:space="preserve">corporations in a time-bound and effective manner (i.e., 180 </w:t>
      </w:r>
      <w:r>
        <w:rPr>
          <w:b/>
          <w:bCs/>
          <w:color w:val="36363d"/>
          <w:sz w:val="44"/>
          <w:szCs w:val="44"/>
          <w:vertAlign w:val="superscript"/>
          <w:lang w:val="en-US"/>
        </w:rPr>
        <w:t xml:space="preserve">days which can be extended to </w:t>
      </w:r>
      <w:r>
        <w:rPr>
          <w:b/>
          <w:bCs/>
          <w:color w:val="36363d"/>
          <w:sz w:val="44"/>
          <w:szCs w:val="44"/>
          <w:vertAlign w:val="superscript"/>
          <w:lang w:val="en-US"/>
        </w:rPr>
        <w:t>90 days under certain circumstances).</w:t>
      </w:r>
      <w:r>
        <w:rPr>
          <w:b/>
          <w:bCs/>
          <w:color w:val="36363d"/>
          <w:sz w:val="32"/>
          <w:szCs w:val="32"/>
          <w:vertAlign w:val="superscript"/>
          <w:lang w:val="en-US"/>
        </w:rPr>
        <w:t xml:space="preserve"> </w:t>
      </w:r>
      <w:r>
        <w:rPr>
          <w:b/>
          <w:bCs/>
          <w:color w:val="36363d"/>
          <w:sz w:val="32"/>
          <w:szCs w:val="32"/>
          <w:vertAlign w:val="superscript"/>
          <w:lang w:val="en-US"/>
        </w:rPr>
        <w:cr/>
      </w:r>
      <w:r>
        <w:rPr>
          <w:b/>
          <w:bCs/>
          <w:color w:val="36363d"/>
          <w:sz w:val="44"/>
          <w:szCs w:val="44"/>
          <w:vertAlign w:val="superscript"/>
          <w:lang w:val="en-US"/>
        </w:rPr>
        <w:t xml:space="preserve">The non-legal measures </w:t>
      </w:r>
      <w:r>
        <w:rPr>
          <w:b/>
          <w:bCs/>
          <w:color w:val="36363d"/>
          <w:sz w:val="44"/>
          <w:szCs w:val="44"/>
          <w:vertAlign w:val="superscript"/>
          <w:lang w:val="en-US"/>
        </w:rPr>
        <w:t>includes</w:t>
      </w:r>
      <w:r>
        <w:rPr>
          <w:b/>
          <w:bCs/>
          <w:color w:val="36363d"/>
          <w:sz w:val="44"/>
          <w:szCs w:val="44"/>
          <w:vertAlign w:val="superscript"/>
          <w:lang w:val="en-US"/>
        </w:rPr>
        <w:t xml:space="preserve"> proper credit appraisal of the projects, timely monitoring </w:t>
      </w:r>
      <w:r>
        <w:rPr>
          <w:b/>
          <w:bCs/>
          <w:color w:val="36363d"/>
          <w:sz w:val="44"/>
          <w:szCs w:val="44"/>
          <w:vertAlign w:val="superscript"/>
          <w:lang w:val="en-US"/>
        </w:rPr>
        <w:t xml:space="preserve">of </w:t>
      </w:r>
      <w:r>
        <w:rPr>
          <w:b/>
          <w:bCs/>
          <w:color w:val="36363d"/>
          <w:sz w:val="44"/>
          <w:szCs w:val="44"/>
          <w:vertAlign w:val="superscript"/>
          <w:lang w:val="en-US"/>
        </w:rPr>
        <w:t xml:space="preserve">the projects, post follow-up, giving training to credit officials for efficient management of </w:t>
      </w:r>
      <w:r>
        <w:rPr>
          <w:b/>
          <w:bCs/>
          <w:color w:val="36363d"/>
          <w:sz w:val="44"/>
          <w:szCs w:val="44"/>
          <w:vertAlign w:val="superscript"/>
          <w:lang w:val="en-US"/>
        </w:rPr>
        <w:t xml:space="preserve">credit risk, strong internal control risk system, effective risk management system, enabling </w:t>
      </w:r>
      <w:r>
        <w:rPr>
          <w:b/>
          <w:bCs/>
          <w:color w:val="36363d"/>
          <w:sz w:val="44"/>
          <w:szCs w:val="44"/>
          <w:vertAlign w:val="superscript"/>
          <w:lang w:val="en-US"/>
        </w:rPr>
        <w:t xml:space="preserve">asset liability management (ALM) system, timely initiation of legal action, effective </w:t>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utilization of information provided by credit rating agencies, strict actio</w:t>
      </w:r>
      <w:r>
        <w:rPr>
          <w:b/>
          <w:bCs/>
          <w:color w:val="36363d"/>
          <w:sz w:val="44"/>
          <w:szCs w:val="44"/>
          <w:vertAlign w:val="superscript"/>
          <w:lang w:val="en-US"/>
        </w:rPr>
        <w:t xml:space="preserve">n against willful </w:t>
      </w:r>
      <w:r>
        <w:rPr>
          <w:b/>
          <w:bCs/>
          <w:color w:val="36363d"/>
          <w:sz w:val="44"/>
          <w:szCs w:val="44"/>
          <w:vertAlign w:val="superscript"/>
          <w:lang w:val="en-US"/>
        </w:rPr>
        <w:t xml:space="preserve">defaults, circulating information on defaulters and so forth (Fatima &amp; Ashraf, 2017; Reserve </w:t>
      </w:r>
      <w:r>
        <w:rPr>
          <w:b/>
          <w:bCs/>
          <w:color w:val="36363d"/>
          <w:sz w:val="44"/>
          <w:szCs w:val="44"/>
          <w:vertAlign w:val="superscript"/>
          <w:lang w:val="en-US"/>
        </w:rPr>
        <w:t xml:space="preserve">Bank of India, </w:t>
      </w:r>
      <w:r>
        <w:rPr>
          <w:b/>
          <w:bCs/>
          <w:color w:val="36363d"/>
          <w:sz w:val="44"/>
          <w:szCs w:val="44"/>
          <w:vertAlign w:val="superscript"/>
          <w:lang w:val="en-US"/>
        </w:rPr>
        <w:cr/>
      </w:r>
    </w:p>
    <w:p>
      <w:pPr>
        <w:pStyle w:val="style0"/>
        <w:spacing w:before="60" w:after="60" w:lineRule="auto" w:line="240"/>
        <w:rPr>
          <w:b/>
          <w:bCs/>
          <w:color w:val="36363d"/>
          <w:sz w:val="44"/>
          <w:szCs w:val="44"/>
          <w:vertAlign w:val="superscript"/>
          <w:lang w:val="en-US"/>
        </w:rPr>
      </w:pPr>
      <w:r>
        <w:rPr>
          <w:b/>
          <w:bCs/>
          <w:color w:val="36363d"/>
          <w:sz w:val="48"/>
          <w:szCs w:val="48"/>
          <w:vertAlign w:val="superscript"/>
          <w:lang w:val="en-US"/>
        </w:rPr>
        <w:t>Conclusion:</w:t>
      </w:r>
      <w:r>
        <w:rPr>
          <w:b/>
          <w:bCs/>
          <w:color w:val="36363d"/>
          <w:sz w:val="48"/>
          <w:szCs w:val="48"/>
          <w:vertAlign w:val="superscript"/>
          <w:lang w:val="en-US"/>
        </w:rPr>
        <w:cr/>
      </w:r>
      <w:r>
        <w:rPr>
          <w:b/>
          <w:bCs/>
          <w:color w:val="36363d"/>
          <w:sz w:val="44"/>
          <w:szCs w:val="44"/>
          <w:vertAlign w:val="superscript"/>
          <w:lang w:val="en-US"/>
        </w:rPr>
        <w:t xml:space="preserve">The government of India and RBI has taken number of initiatives to reduce the level of </w:t>
      </w:r>
      <w:r>
        <w:rPr>
          <w:b/>
          <w:bCs/>
          <w:color w:val="36363d"/>
          <w:sz w:val="44"/>
          <w:szCs w:val="44"/>
          <w:vertAlign w:val="superscript"/>
          <w:lang w:val="en-US"/>
        </w:rPr>
        <w:t xml:space="preserve">bad loans NPAs but they are still very high as compared to the international standards. In order </w:t>
      </w:r>
      <w:r>
        <w:rPr>
          <w:b/>
          <w:bCs/>
          <w:color w:val="36363d"/>
          <w:sz w:val="44"/>
          <w:szCs w:val="44"/>
          <w:vertAlign w:val="superscript"/>
          <w:lang w:val="en-US"/>
        </w:rPr>
        <w:t xml:space="preserve">to reduce them, banks must develop an efficient management system and </w:t>
      </w:r>
      <w:r>
        <w:rPr>
          <w:b/>
          <w:bCs/>
          <w:color w:val="36363d"/>
          <w:sz w:val="44"/>
          <w:szCs w:val="44"/>
          <w:vertAlign w:val="superscript"/>
          <w:lang w:val="en-US"/>
        </w:rPr>
        <w:t xml:space="preserve">the staff involved in </w:t>
      </w:r>
      <w:r>
        <w:rPr>
          <w:b/>
          <w:bCs/>
          <w:color w:val="36363d"/>
          <w:sz w:val="44"/>
          <w:szCs w:val="44"/>
          <w:vertAlign w:val="superscript"/>
          <w:lang w:val="en-US"/>
        </w:rPr>
        <w:t xml:space="preserve">sanctioning the advances should be trained about the proper documentation. Banks should </w:t>
      </w:r>
      <w:r>
        <w:rPr>
          <w:b/>
          <w:bCs/>
          <w:color w:val="36363d"/>
          <w:sz w:val="44"/>
          <w:szCs w:val="44"/>
          <w:vertAlign w:val="superscript"/>
          <w:lang w:val="en-US"/>
        </w:rPr>
        <w:t xml:space="preserve">conduct proper inspection and credit appraisal before approving a project and then carry out </w:t>
      </w:r>
      <w:r>
        <w:rPr>
          <w:b/>
          <w:bCs/>
          <w:color w:val="36363d"/>
          <w:sz w:val="44"/>
          <w:szCs w:val="44"/>
          <w:vertAlign w:val="superscript"/>
          <w:lang w:val="en-US"/>
        </w:rPr>
        <w:t xml:space="preserve">regular monitoring to ensure that the amount must be utilized for the purpose for which it has </w:t>
      </w:r>
      <w:r>
        <w:rPr>
          <w:b/>
          <w:bCs/>
          <w:color w:val="36363d"/>
          <w:sz w:val="44"/>
          <w:szCs w:val="44"/>
          <w:vertAlign w:val="superscript"/>
          <w:lang w:val="en-US"/>
        </w:rPr>
        <w:t>been given.</w:t>
      </w:r>
      <w:r>
        <w:rPr>
          <w:b/>
          <w:bCs/>
          <w:color w:val="36363d"/>
          <w:sz w:val="32"/>
          <w:szCs w:val="32"/>
          <w:vertAlign w:val="superscript"/>
          <w:lang w:val="en-US"/>
        </w:rPr>
        <w:cr/>
      </w:r>
      <w:r>
        <w:rPr>
          <w:b/>
          <w:bCs/>
          <w:color w:val="36363d"/>
          <w:sz w:val="48"/>
          <w:szCs w:val="48"/>
          <w:vertAlign w:val="superscript"/>
          <w:lang w:val="en-US"/>
        </w:rPr>
        <w:t>References:</w:t>
      </w:r>
      <w:r>
        <w:rPr>
          <w:b/>
          <w:bCs/>
          <w:color w:val="36363d"/>
          <w:sz w:val="32"/>
          <w:szCs w:val="32"/>
          <w:vertAlign w:val="superscript"/>
          <w:lang w:val="en-US"/>
        </w:rPr>
        <w:cr/>
      </w:r>
      <w:r>
        <w:rPr>
          <w:b/>
          <w:bCs/>
          <w:color w:val="36363d"/>
          <w:sz w:val="44"/>
          <w:szCs w:val="44"/>
          <w:vertAlign w:val="superscript"/>
          <w:lang w:val="en-US"/>
        </w:rPr>
        <w:t>1. Tiwari, C.K., &amp; Sontakke</w:t>
      </w:r>
      <w:r>
        <w:rPr>
          <w:b/>
          <w:bCs/>
          <w:color w:val="36363d"/>
          <w:sz w:val="44"/>
          <w:szCs w:val="44"/>
          <w:vertAlign w:val="superscript"/>
          <w:lang w:val="en-US"/>
        </w:rPr>
        <w:t>, R. (2013). Non-performing assets: A cause of concern for banks. ASM‟s International E- Journal of</w:t>
      </w:r>
      <w:r>
        <w:rPr>
          <w:b/>
          <w:bCs/>
          <w:color w:val="36363d"/>
          <w:sz w:val="44"/>
          <w:szCs w:val="44"/>
          <w:vertAlign w:val="superscript"/>
          <w:lang w:val="en-US"/>
        </w:rPr>
        <w:t xml:space="preserve"> </w:t>
      </w:r>
      <w:r>
        <w:rPr>
          <w:b/>
          <w:bCs/>
          <w:color w:val="36363d"/>
          <w:sz w:val="44"/>
          <w:szCs w:val="44"/>
          <w:vertAlign w:val="superscript"/>
          <w:lang w:val="en-US"/>
        </w:rPr>
        <w:t>Ongoing Research in</w:t>
      </w:r>
      <w:r>
        <w:rPr>
          <w:b/>
          <w:bCs/>
          <w:color w:val="36363d"/>
          <w:sz w:val="44"/>
          <w:szCs w:val="44"/>
          <w:vertAlign w:val="superscript"/>
          <w:lang w:val="en-US"/>
        </w:rPr>
        <w:t xml:space="preserve"> </w:t>
      </w:r>
      <w:r>
        <w:rPr>
          <w:b/>
          <w:bCs/>
          <w:color w:val="36363d"/>
          <w:sz w:val="44"/>
          <w:szCs w:val="44"/>
          <w:vertAlign w:val="superscript"/>
          <w:lang w:val="en-US"/>
        </w:rPr>
        <w:t xml:space="preserve">Management and I.T., 1-6. </w:t>
      </w:r>
    </w:p>
    <w:p>
      <w:pPr>
        <w:pStyle w:val="style0"/>
        <w:spacing w:before="60" w:after="60" w:lineRule="auto" w:line="240"/>
        <w:rPr>
          <w:b/>
          <w:bCs/>
          <w:color w:val="36363d"/>
          <w:sz w:val="44"/>
          <w:szCs w:val="44"/>
          <w:vertAlign w:val="superscript"/>
          <w:lang w:val="en-US"/>
        </w:rPr>
      </w:pPr>
      <w:r>
        <w:rPr>
          <w:b/>
          <w:bCs/>
          <w:color w:val="36363d"/>
          <w:sz w:val="44"/>
          <w:szCs w:val="44"/>
          <w:vertAlign w:val="superscript"/>
          <w:lang w:val="en-US"/>
        </w:rPr>
        <w:t xml:space="preserve">2. Dr. </w:t>
      </w:r>
      <w:r>
        <w:rPr>
          <w:b/>
          <w:bCs/>
          <w:color w:val="36363d"/>
          <w:sz w:val="44"/>
          <w:szCs w:val="44"/>
          <w:vertAlign w:val="superscript"/>
          <w:lang w:val="en-US"/>
        </w:rPr>
        <w:t>D.Paul</w:t>
      </w:r>
      <w:r>
        <w:rPr>
          <w:b/>
          <w:bCs/>
          <w:color w:val="36363d"/>
          <w:sz w:val="44"/>
          <w:szCs w:val="44"/>
          <w:vertAlign w:val="superscript"/>
          <w:lang w:val="en-US"/>
        </w:rPr>
        <w:t xml:space="preserve"> Dhinakaran, “Passengers impression towards </w:t>
      </w:r>
      <w:r>
        <w:rPr>
          <w:b/>
          <w:bCs/>
          <w:color w:val="36363d"/>
          <w:sz w:val="44"/>
          <w:szCs w:val="44"/>
          <w:vertAlign w:val="superscript"/>
          <w:lang w:val="en-US"/>
        </w:rPr>
        <w:t>Tamilnadu</w:t>
      </w:r>
      <w:r>
        <w:rPr>
          <w:b/>
          <w:bCs/>
          <w:color w:val="36363d"/>
          <w:sz w:val="44"/>
          <w:szCs w:val="44"/>
          <w:vertAlign w:val="superscript"/>
          <w:lang w:val="en-US"/>
        </w:rPr>
        <w:t xml:space="preserve"> </w:t>
      </w:r>
      <w:r>
        <w:rPr>
          <w:b/>
          <w:bCs/>
          <w:color w:val="36363d"/>
          <w:sz w:val="44"/>
          <w:szCs w:val="44"/>
          <w:vertAlign w:val="superscript"/>
          <w:lang w:val="en-US"/>
        </w:rPr>
        <w:t xml:space="preserve">State Transport corporation” A Journal </w:t>
      </w:r>
      <w:r>
        <w:rPr>
          <w:b/>
          <w:bCs/>
          <w:color w:val="36363d"/>
          <w:sz w:val="44"/>
          <w:szCs w:val="44"/>
          <w:vertAlign w:val="superscript"/>
          <w:lang w:val="en-US"/>
        </w:rPr>
        <w:t xml:space="preserve">of road Transport, (ISSN: </w:t>
      </w:r>
      <w:r>
        <w:rPr>
          <w:b/>
          <w:bCs/>
          <w:color w:val="36363d"/>
          <w:sz w:val="44"/>
          <w:szCs w:val="44"/>
          <w:vertAlign w:val="superscript"/>
          <w:lang w:val="en-US"/>
        </w:rPr>
        <w:cr/>
      </w:r>
      <w:r>
        <w:rPr>
          <w:b/>
          <w:bCs/>
          <w:color w:val="36363d"/>
          <w:sz w:val="44"/>
          <w:szCs w:val="44"/>
          <w:vertAlign w:val="superscript"/>
          <w:lang w:val="en-US"/>
        </w:rPr>
        <w:t>2394-2495) Volume I, Issue X, January- March 2017, P.1-10.</w:t>
      </w:r>
    </w:p>
    <w:p>
      <w:pPr>
        <w:pStyle w:val="style0"/>
        <w:spacing w:before="60" w:after="60" w:lineRule="auto" w:line="240"/>
        <w:rPr>
          <w:b/>
          <w:bCs/>
          <w:color w:val="36363d"/>
          <w:sz w:val="44"/>
          <w:szCs w:val="44"/>
          <w:vertAlign w:val="superscript"/>
        </w:rPr>
      </w:pPr>
      <w:r>
        <w:rPr>
          <w:b/>
          <w:bCs/>
          <w:color w:val="36363d"/>
          <w:sz w:val="44"/>
          <w:szCs w:val="44"/>
          <w:vertAlign w:val="superscript"/>
          <w:lang w:val="en-US"/>
        </w:rPr>
        <w:t xml:space="preserve">3. Yadav, Sushma. (2014). NPAs: Rising trends and Preventive Measures in Indian banking sectors. International Journal of Advance </w:t>
      </w:r>
      <w:r>
        <w:rPr>
          <w:b/>
          <w:bCs/>
          <w:color w:val="36363d"/>
          <w:sz w:val="44"/>
          <w:szCs w:val="44"/>
          <w:vertAlign w:val="superscript"/>
          <w:lang w:val="en-US"/>
        </w:rPr>
        <w:t>Research in Computer Science and Man</w:t>
      </w:r>
      <w:r>
        <w:rPr>
          <w:b/>
          <w:bCs/>
          <w:color w:val="36363d"/>
          <w:sz w:val="44"/>
          <w:szCs w:val="44"/>
          <w:vertAlign w:val="superscript"/>
          <w:lang w:val="en-US"/>
        </w:rPr>
        <w:t xml:space="preserve">agement studies, 2(1), 129-141. </w:t>
      </w:r>
      <w:r>
        <w:rPr>
          <w:b/>
          <w:bCs/>
          <w:color w:val="36363d"/>
          <w:sz w:val="44"/>
          <w:szCs w:val="44"/>
          <w:vertAlign w:val="superscript"/>
          <w:lang w:val="en-US"/>
        </w:rPr>
        <w:cr/>
      </w:r>
      <w:r>
        <w:rPr>
          <w:b/>
          <w:bCs/>
          <w:color w:val="36363d"/>
          <w:sz w:val="44"/>
          <w:szCs w:val="44"/>
          <w:vertAlign w:val="superscript"/>
          <w:lang w:val="en-US"/>
        </w:rPr>
        <w:t xml:space="preserve">4. </w:t>
      </w:r>
      <w:r>
        <w:rPr>
          <w:b/>
          <w:bCs/>
          <w:color w:val="36363d"/>
          <w:sz w:val="44"/>
          <w:szCs w:val="44"/>
          <w:vertAlign w:val="superscript"/>
          <w:lang w:val="en-US"/>
        </w:rPr>
        <w:t>D.Paul</w:t>
      </w:r>
      <w:r>
        <w:rPr>
          <w:b/>
          <w:bCs/>
          <w:color w:val="36363d"/>
          <w:sz w:val="44"/>
          <w:szCs w:val="44"/>
          <w:vertAlign w:val="superscript"/>
          <w:lang w:val="en-US"/>
        </w:rPr>
        <w:t xml:space="preserve"> Dhinakaran, “Passengers‟ Perception towards Service Quality in Tamilnadu State Transport Corporation (Kumbakonam) </w:t>
      </w:r>
      <w:r>
        <w:rPr>
          <w:b/>
          <w:bCs/>
          <w:color w:val="36363d"/>
          <w:sz w:val="44"/>
          <w:szCs w:val="44"/>
          <w:vertAlign w:val="superscript"/>
          <w:lang w:val="en-US"/>
        </w:rPr>
        <w:cr/>
      </w:r>
      <w:r>
        <w:rPr>
          <w:b/>
          <w:bCs/>
          <w:color w:val="36363d"/>
          <w:sz w:val="44"/>
          <w:szCs w:val="44"/>
          <w:vertAlign w:val="superscript"/>
          <w:lang w:val="en-US"/>
        </w:rPr>
        <w:t xml:space="preserve">Limited, </w:t>
      </w:r>
      <w:r>
        <w:rPr>
          <w:b/>
          <w:bCs/>
          <w:color w:val="36363d"/>
          <w:sz w:val="44"/>
          <w:szCs w:val="44"/>
          <w:vertAlign w:val="superscript"/>
          <w:lang w:val="en-US"/>
        </w:rPr>
        <w:t>Kumbakonam</w:t>
      </w:r>
      <w:r>
        <w:rPr>
          <w:b/>
          <w:bCs/>
          <w:color w:val="36363d"/>
          <w:sz w:val="44"/>
          <w:szCs w:val="44"/>
          <w:vertAlign w:val="superscript"/>
          <w:lang w:val="en-US"/>
        </w:rPr>
        <w:t xml:space="preserve">” Asia Pacific Journal of Research, (ISSN: 2320-5504,) Volume I, Issue XIII, </w:t>
      </w:r>
      <w:r>
        <w:rPr>
          <w:b/>
          <w:bCs/>
          <w:color w:val="36363d"/>
          <w:sz w:val="44"/>
          <w:szCs w:val="44"/>
          <w:vertAlign w:val="superscript"/>
          <w:lang w:val="en-US"/>
        </w:rPr>
        <w:t>January 2014, P.170-181.</w:t>
      </w:r>
      <w:r>
        <w:rPr>
          <w:b/>
          <w:bCs/>
          <w:color w:val="36363d"/>
          <w:sz w:val="32"/>
          <w:szCs w:val="32"/>
          <w:vertAlign w:val="superscript"/>
          <w:lang w:val="en-US"/>
        </w:rPr>
        <w:cr/>
      </w:r>
      <w:r>
        <w:rPr>
          <w:b/>
          <w:bCs/>
          <w:color w:val="36363d"/>
          <w:sz w:val="44"/>
          <w:szCs w:val="44"/>
          <w:vertAlign w:val="superscript"/>
          <w:lang w:val="en-US"/>
        </w:rPr>
        <w:t xml:space="preserve">5. Reserve Bank of India. (2017). Report on Trend and Progress of Banking in India 2016-17. Retrieved from www.rbi.org </w:t>
      </w:r>
      <w:r>
        <w:rPr>
          <w:b/>
          <w:bCs/>
          <w:color w:val="36363d"/>
          <w:sz w:val="44"/>
          <w:szCs w:val="44"/>
          <w:vertAlign w:val="superscript"/>
          <w:lang w:val="en-US"/>
        </w:rPr>
        <w:cr/>
      </w:r>
      <w:r>
        <w:rPr>
          <w:b/>
          <w:bCs/>
          <w:color w:val="36363d"/>
          <w:sz w:val="44"/>
          <w:szCs w:val="44"/>
          <w:vertAlign w:val="superscript"/>
          <w:lang w:val="en-US"/>
        </w:rPr>
        <w:t>6. Kanika Goyal, 2010. Empirical Study of Non-Performing Assets Management of Indian Public Sector Banks, APJ</w:t>
      </w:r>
      <w:r>
        <w:rPr>
          <w:b/>
          <w:bCs/>
          <w:color w:val="36363d"/>
          <w:sz w:val="44"/>
          <w:szCs w:val="44"/>
          <w:vertAlign w:val="superscript"/>
          <w:lang w:val="en-US"/>
        </w:rPr>
        <w:t xml:space="preserve">RBM Volume 1, </w:t>
      </w:r>
      <w:r>
        <w:rPr>
          <w:b/>
          <w:bCs/>
          <w:color w:val="36363d"/>
          <w:sz w:val="44"/>
          <w:szCs w:val="44"/>
          <w:vertAlign w:val="superscript"/>
          <w:lang w:val="en-US"/>
        </w:rPr>
        <w:cr/>
      </w:r>
      <w:r>
        <w:rPr>
          <w:b/>
          <w:bCs/>
          <w:color w:val="36363d"/>
          <w:sz w:val="44"/>
          <w:szCs w:val="44"/>
          <w:vertAlign w:val="superscript"/>
          <w:lang w:val="en-US"/>
        </w:rPr>
        <w:t>Issue 1, October 2010</w:t>
      </w:r>
      <w:r>
        <w:rPr>
          <w:b/>
          <w:bCs/>
          <w:color w:val="36363d"/>
          <w:sz w:val="44"/>
          <w:szCs w:val="44"/>
          <w:vertAlign w:val="superscript"/>
          <w:lang w:val="en-US"/>
        </w:rPr>
        <w:cr/>
      </w:r>
      <w:r>
        <w:rPr>
          <w:b/>
          <w:bCs/>
          <w:color w:val="36363d"/>
          <w:sz w:val="44"/>
          <w:szCs w:val="44"/>
          <w:vertAlign w:val="superscript"/>
          <w:lang w:val="en-US"/>
        </w:rPr>
        <w:t xml:space="preserve">7. </w:t>
      </w:r>
      <w:r>
        <w:rPr>
          <w:b/>
          <w:bCs/>
          <w:color w:val="36363d"/>
          <w:sz w:val="44"/>
          <w:szCs w:val="44"/>
          <w:vertAlign w:val="superscript"/>
          <w:lang w:val="en-US"/>
        </w:rPr>
        <w:t>D.Paul</w:t>
      </w:r>
      <w:r>
        <w:rPr>
          <w:b/>
          <w:bCs/>
          <w:color w:val="36363d"/>
          <w:sz w:val="44"/>
          <w:szCs w:val="44"/>
          <w:vertAlign w:val="superscript"/>
          <w:lang w:val="en-US"/>
        </w:rPr>
        <w:t xml:space="preserve"> Dhinakaran, “Bus Operations of Service Quality in Tamil Nadu State Transport Corporation Limited, Kumbakonam” Asian </w:t>
      </w:r>
      <w:r>
        <w:rPr>
          <w:b/>
          <w:bCs/>
          <w:color w:val="36363d"/>
          <w:sz w:val="32"/>
          <w:szCs w:val="32"/>
          <w:vertAlign w:val="superscript"/>
          <w:lang w:val="en-US"/>
        </w:rPr>
        <w:cr/>
      </w:r>
      <w:r>
        <w:rPr>
          <w:b/>
          <w:bCs/>
          <w:color w:val="36363d"/>
          <w:sz w:val="44"/>
          <w:szCs w:val="44"/>
          <w:vertAlign w:val="superscript"/>
          <w:lang w:val="en-US"/>
        </w:rPr>
        <w:t>Journal of Management, (A and V Publication), (ISSN: 0976 – 495X), Volume: 4, Issue: 1, May, 2013.</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D1A371A"/>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cs="Courier New" w:hAnsi="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cs="Courier New" w:hAnsi="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cs="Courier New" w:hAnsi="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nsid w:val="00000001"/>
    <w:multiLevelType w:val="hybridMultilevel"/>
    <w:tmpl w:val="899E04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IN" w:bidi="ar-SA" w:eastAsia="en-US"/>
      </w:rPr>
    </w:rPrDefault>
    <w:pPrDefault>
      <w:pPr>
        <w:spacing w:after="160" w:lineRule="auto" w:line="259"/>
      </w:pPr>
    </w:pPrDefault>
  </w:docDefaults>
  <w:style w:type="paragraph" w:default="1" w:styleId="style0">
    <w:name w:val="Normal"/>
    <w:next w:val="style0"/>
    <w:qFormat/>
    <w:pPr>
      <w:spacing w:after="120" w:lineRule="auto" w:line="264"/>
    </w:pPr>
    <w:rPr>
      <w:rFonts w:eastAsia="SimSun"/>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pPr>
      <w:tabs>
        <w:tab w:val="center" w:leader="none" w:pos="4500"/>
        <w:tab w:val="right" w:leader="none" w:pos="9020"/>
      </w:tabs>
      <w:spacing w:after="0" w:lineRule="auto" w:line="240"/>
    </w:pPr>
    <w:rPr/>
  </w:style>
  <w:style w:type="paragraph" w:styleId="style179">
    <w:name w:val="List Paragraph"/>
    <w:basedOn w:val="style0"/>
    <w:next w:val="style179"/>
    <w:qFormat/>
    <w:pPr>
      <w:ind w:left="720"/>
    </w:pPr>
    <w:rPr/>
  </w:style>
  <w:style w:type="table" w:styleId="style185">
    <w:name w:val="Medium Grid 3 Accent 1"/>
    <w:basedOn w:val="style105"/>
    <w:next w:val="style185"/>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54">
    <w:name w:val="Table Grid"/>
    <w:basedOn w:val="style105"/>
    <w:next w:val="style154"/>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097"/>
    <w:uiPriority w:val="99"/>
    <w:pPr>
      <w:tabs>
        <w:tab w:val="center" w:leader="none" w:pos="4513"/>
        <w:tab w:val="right" w:leader="none" w:pos="9026"/>
      </w:tabs>
      <w:spacing w:after="0" w:lineRule="auto" w:line="240"/>
    </w:pPr>
    <w:rPr/>
  </w:style>
  <w:style w:type="character" w:customStyle="1" w:styleId="style4097">
    <w:name w:val="Header Char_b4a39221-269a-4739-a3b8-300d311bca82"/>
    <w:basedOn w:val="style65"/>
    <w:next w:val="style4097"/>
    <w:link w:val="style31"/>
    <w:uiPriority w:val="99"/>
    <w:rPr>
      <w:rFonts w:eastAsia="SimSun"/>
      <w:sz w:val="20"/>
      <w:szCs w:val="2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customXml" Target="ink/ink1.xml"/><Relationship Id="rId4"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oleObject" Target="embeddings/oleObject1.bin"/><Relationship Id="rId6" Type="http://schemas.openxmlformats.org/officeDocument/2006/relationships/image" Target="media/image3.jpeg"/><Relationship Id="rId7" Type="http://schemas.openxmlformats.org/officeDocument/2006/relationships/oleObject" Target="embeddings/oleObject2.bin"/><Relationship Id="rId8"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6T14:58:02.992"/>
    </inkml:context>
    <inkml:brush xml:id="br0">
      <inkml:brushProperty name="width" value="0.05" units="cm"/>
      <inkml:brushProperty name="height" value="0.05" units="cm"/>
      <inkml:brushProperty name="color" value="#E71224"/>
    </inkml:brush>
  </inkml:definitions>
  <inkml:trace contextRef="#ctx0" brushRef="#br0">0 1 24575,'0'0'-8191</inkml:trace>
  <inkml:trace contextRef="#ctx0" brushRef="#br0" timeOffset="1">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48BD7-DC20-4FAE-A0A3-BEC01D771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Words>2334</Words>
  <Pages>21</Pages>
  <Characters>12290</Characters>
  <Application>WPS Office</Application>
  <DocSecurity>0</DocSecurity>
  <Paragraphs>509</Paragraphs>
  <ScaleCrop>false</ScaleCrop>
  <LinksUpToDate>false</LinksUpToDate>
  <CharactersWithSpaces>15186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2023-04-27T14:53:00Z</dcterms:created>
  <dc:creator>ARSHAD</dc:creator>
  <lastModifiedBy>Redmi Note 5 Pro</lastModifiedBy>
  <dcterms:modified xsi:type="dcterms:W3CDTF">2023-04-30T07:49:23Z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7c0098e7b66a44bca85894835a1f70be</vt:lpwstr>
  </property>
</Properties>
</file>