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both"/>
        <w:rPr>
          <w:b/>
          <w:color w:val="215868"/>
        </w:rPr>
      </w:pPr>
    </w:p>
    <w:p>
      <w:pPr>
        <w:jc w:val="both"/>
        <w:rPr>
          <w:b/>
          <w:color w:val="215868"/>
        </w:rPr>
      </w:pPr>
      <w:r>
        <w:rPr>
          <w:b/>
          <w:color w:val="215868"/>
        </w:rPr>
        <w:t>To,</w:t>
      </w:r>
    </w:p>
    <w:p>
      <w:pPr>
        <w:jc w:val="both"/>
        <w:rPr>
          <w:b/>
          <w:color w:val="215868"/>
        </w:rPr>
      </w:pPr>
      <w:r>
        <w:rPr>
          <w:b/>
          <w:color w:val="215868"/>
        </w:rPr>
        <w:t xml:space="preserve">             Editor</w:t>
      </w:r>
    </w:p>
    <w:p>
      <w:pPr>
        <w:jc w:val="both"/>
        <w:rPr>
          <w:b/>
          <w:color w:val="215868"/>
        </w:rPr>
      </w:pPr>
    </w:p>
    <w:p>
      <w:pPr>
        <w:jc w:val="both"/>
        <w:rPr>
          <w:b/>
          <w:color w:val="215868"/>
        </w:rPr>
      </w:pPr>
      <w:r>
        <w:rPr>
          <w:b/>
          <w:color w:val="215868"/>
        </w:rPr>
        <w:t xml:space="preserve">             ISJEM</w:t>
      </w:r>
      <w:bookmarkStart w:id="0" w:name="_GoBack"/>
      <w:bookmarkEnd w:id="0"/>
      <w:r>
        <w:rPr>
          <w:b/>
          <w:color w:val="215868"/>
        </w:rPr>
        <w:t>JOURNAL</w:t>
      </w:r>
    </w:p>
    <w:p>
      <w:pPr>
        <w:jc w:val="both"/>
        <w:rPr>
          <w:b/>
          <w:color w:val="215868"/>
        </w:rPr>
      </w:pPr>
    </w:p>
    <w:p>
      <w:pPr>
        <w:pStyle w:val="20"/>
        <w:rPr>
          <w:color w:val="4F6228"/>
        </w:rPr>
      </w:pPr>
      <w:r>
        <w:rPr>
          <w:color w:val="4F6228"/>
        </w:rPr>
        <w:t xml:space="preserve">            </w:t>
      </w:r>
    </w:p>
    <w:p>
      <w:pPr>
        <w:jc w:val="both"/>
        <w:rPr>
          <w:color w:val="000099"/>
        </w:rPr>
      </w:pPr>
      <w:r>
        <w:rPr>
          <w:b/>
          <w:color w:val="000099"/>
        </w:rPr>
        <w:t>D</w:t>
      </w:r>
      <w:r>
        <w:rPr>
          <w:color w:val="000099"/>
        </w:rPr>
        <w:t xml:space="preserve">ear </w:t>
      </w:r>
      <w:r>
        <w:rPr>
          <w:b/>
          <w:color w:val="000099"/>
        </w:rPr>
        <w:t>S</w:t>
      </w:r>
      <w:r>
        <w:rPr>
          <w:color w:val="000099"/>
        </w:rPr>
        <w:t>ir/</w:t>
      </w:r>
      <w:r>
        <w:rPr>
          <w:b/>
          <w:color w:val="000099"/>
        </w:rPr>
        <w:t>M</w:t>
      </w:r>
      <w:r>
        <w:rPr>
          <w:color w:val="000099"/>
        </w:rPr>
        <w:t>adam,</w:t>
      </w:r>
    </w:p>
    <w:p>
      <w:pPr>
        <w:spacing w:line="360" w:lineRule="auto"/>
        <w:jc w:val="center"/>
        <w:rPr>
          <w:color w:val="000099"/>
        </w:rPr>
      </w:pPr>
      <w:r>
        <w:rPr>
          <w:b/>
          <w:color w:val="000099"/>
        </w:rPr>
        <w:t xml:space="preserve">Subject: </w:t>
      </w:r>
      <w:r>
        <w:rPr>
          <w:color w:val="000099"/>
        </w:rPr>
        <w:t>Sending the Abstract with full paper for Publication</w:t>
      </w:r>
    </w:p>
    <w:p>
      <w:pPr>
        <w:spacing w:line="360" w:lineRule="auto"/>
        <w:jc w:val="center"/>
        <w:rPr>
          <w:b/>
          <w:color w:val="002060"/>
          <w:sz w:val="28"/>
          <w:szCs w:val="28"/>
        </w:rPr>
      </w:pPr>
      <w:r>
        <w:rPr>
          <w:b/>
          <w:color w:val="002060"/>
          <w:sz w:val="28"/>
          <w:szCs w:val="28"/>
        </w:rPr>
        <w:t>Dimensions of Women Empowerment through Microfinance</w:t>
      </w:r>
    </w:p>
    <w:p>
      <w:pPr>
        <w:spacing w:line="360" w:lineRule="auto"/>
        <w:jc w:val="center"/>
        <w:rPr>
          <w:color w:val="002060"/>
          <w:sz w:val="28"/>
          <w:szCs w:val="28"/>
        </w:rPr>
      </w:pPr>
      <w:r>
        <w:rPr>
          <w:b/>
          <w:color w:val="002060"/>
          <w:sz w:val="28"/>
          <w:szCs w:val="28"/>
        </w:rPr>
        <w:t>(A Case Study of Shivamogga District)</w:t>
      </w:r>
    </w:p>
    <w:p>
      <w:pPr>
        <w:pStyle w:val="17"/>
        <w:tabs>
          <w:tab w:val="center" w:pos="4680"/>
          <w:tab w:val="left" w:pos="6195"/>
        </w:tabs>
        <w:jc w:val="center"/>
        <w:rPr>
          <w:rFonts w:ascii="Times New Roman" w:hAnsi="Times New Roman"/>
          <w:b/>
          <w:sz w:val="24"/>
          <w:szCs w:val="24"/>
        </w:rPr>
      </w:pPr>
      <w:r>
        <w:rPr>
          <w:rFonts w:ascii="Times New Roman" w:hAnsi="Times New Roman"/>
          <w:b/>
          <w:sz w:val="24"/>
          <w:szCs w:val="24"/>
        </w:rPr>
        <w:t>----***----</w:t>
      </w:r>
    </w:p>
    <w:p>
      <w:pPr>
        <w:spacing w:line="360" w:lineRule="auto"/>
        <w:jc w:val="center"/>
        <w:rPr>
          <w:color w:val="000099"/>
        </w:rPr>
      </w:pPr>
      <w:r>
        <w:rPr>
          <w:color w:val="000099"/>
        </w:rPr>
        <w:t>I hereby sending you an abstract with full paper for the Publication.</w:t>
      </w:r>
    </w:p>
    <w:p>
      <w:pPr>
        <w:spacing w:before="24" w:after="24" w:line="360" w:lineRule="auto"/>
        <w:jc w:val="both"/>
        <w:outlineLvl w:val="1"/>
        <w:rPr>
          <w:color w:val="000099"/>
        </w:rPr>
      </w:pPr>
      <w:r>
        <w:rPr>
          <w:color w:val="000099"/>
        </w:rPr>
        <w:t>I request you to accept my abstract with full paper and publish in your Journal.</w:t>
      </w:r>
    </w:p>
    <w:p>
      <w:pPr>
        <w:spacing w:before="24" w:after="24" w:line="360" w:lineRule="auto"/>
        <w:jc w:val="both"/>
        <w:outlineLvl w:val="1"/>
        <w:rPr>
          <w:color w:val="000099"/>
        </w:rPr>
      </w:pPr>
    </w:p>
    <w:p>
      <w:pPr>
        <w:spacing w:before="24" w:after="24" w:line="360" w:lineRule="auto"/>
        <w:jc w:val="both"/>
        <w:outlineLvl w:val="1"/>
        <w:rPr>
          <w:color w:val="000099"/>
        </w:rPr>
      </w:pPr>
      <w:r>
        <w:rPr>
          <w:color w:val="000099"/>
        </w:rPr>
        <w:t xml:space="preserve">                                    T</w:t>
      </w:r>
      <w:r>
        <w:rPr>
          <w:color w:val="000099"/>
          <w:sz w:val="28"/>
          <w:szCs w:val="28"/>
        </w:rPr>
        <w:t>he details are furnished in specified format</w:t>
      </w:r>
      <w:r>
        <w:rPr>
          <w:color w:val="215868"/>
          <w:sz w:val="28"/>
          <w:szCs w:val="28"/>
        </w:rPr>
        <w:t>.</w:t>
      </w:r>
    </w:p>
    <w:tbl>
      <w:tblPr>
        <w:tblpPr w:leftFromText="180" w:rightFromText="180" w:vertAnchor="text" w:horzAnchor="margin" w:tblpXSpec="center" w:tblpY="155"/>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
        <w:gridCol w:w="1875"/>
        <w:gridCol w:w="2135"/>
        <w:gridCol w:w="56"/>
        <w:gridCol w:w="965"/>
        <w:gridCol w:w="1392"/>
        <w:gridCol w:w="2321"/>
        <w:gridCol w:w="1597"/>
      </w:tblGrid>
      <w:tr>
        <w:trPr>
          <w:trHeight w:val="191"/>
          <w:gridBefore w:val="1"/>
          <w:wBefore w:w="19" w:type="dxa"/>
        </w:trPr>
        <w:tc>
          <w:tcPr>
            <w:tcW w:w="1875" w:type="dxa"/>
            <w:vAlign w:val="center"/>
          </w:tcPr>
          <w:p>
            <w:pPr>
              <w:spacing w:line="240" w:lineRule="exact"/>
              <w:jc w:val="center"/>
              <w:rPr>
                <w:b/>
                <w:color w:val="FF0000"/>
              </w:rPr>
            </w:pPr>
            <w:r>
              <w:rPr>
                <w:b/>
                <w:color w:val="FF0000"/>
              </w:rPr>
              <w:t xml:space="preserve">Name of the Author </w:t>
            </w:r>
          </w:p>
        </w:tc>
        <w:tc>
          <w:tcPr>
            <w:tcW w:w="2135" w:type="dxa"/>
            <w:vAlign w:val="center"/>
          </w:tcPr>
          <w:p>
            <w:pPr>
              <w:spacing w:line="240" w:lineRule="exact"/>
              <w:jc w:val="center"/>
              <w:rPr>
                <w:b/>
                <w:color w:val="FF0000"/>
              </w:rPr>
            </w:pPr>
            <w:r>
              <w:rPr>
                <w:b/>
                <w:color w:val="FF0000"/>
              </w:rPr>
              <w:t>Name of the Institution/ Organisation</w:t>
            </w:r>
          </w:p>
        </w:tc>
        <w:tc>
          <w:tcPr>
            <w:tcW w:w="1021" w:type="dxa"/>
            <w:gridSpan w:val="2"/>
            <w:vAlign w:val="center"/>
          </w:tcPr>
          <w:p>
            <w:pPr>
              <w:spacing w:line="240" w:lineRule="exact"/>
              <w:jc w:val="center"/>
              <w:rPr>
                <w:b/>
                <w:color w:val="FF0000"/>
              </w:rPr>
            </w:pPr>
            <w:r>
              <w:rPr>
                <w:b/>
                <w:color w:val="FF0000"/>
              </w:rPr>
              <w:t>Phone No.</w:t>
            </w:r>
          </w:p>
        </w:tc>
        <w:tc>
          <w:tcPr>
            <w:tcW w:w="1392" w:type="dxa"/>
            <w:vAlign w:val="center"/>
          </w:tcPr>
          <w:p>
            <w:pPr>
              <w:spacing w:line="240" w:lineRule="exact"/>
              <w:jc w:val="center"/>
              <w:rPr>
                <w:b/>
                <w:color w:val="FF0000"/>
              </w:rPr>
            </w:pPr>
            <w:r>
              <w:rPr>
                <w:b/>
                <w:color w:val="FF0000"/>
              </w:rPr>
              <w:t>E-mail ID</w:t>
            </w:r>
          </w:p>
        </w:tc>
        <w:tc>
          <w:tcPr>
            <w:tcW w:w="2321" w:type="dxa"/>
            <w:vAlign w:val="center"/>
          </w:tcPr>
          <w:p>
            <w:pPr>
              <w:spacing w:line="240" w:lineRule="exact"/>
              <w:jc w:val="center"/>
              <w:rPr>
                <w:b/>
                <w:color w:val="FF0000"/>
              </w:rPr>
            </w:pPr>
            <w:r>
              <w:rPr>
                <w:b/>
                <w:color w:val="FF0000"/>
              </w:rPr>
              <w:t>Title of the Paper</w:t>
            </w:r>
          </w:p>
        </w:tc>
        <w:tc>
          <w:tcPr>
            <w:tcW w:w="1597" w:type="dxa"/>
            <w:vAlign w:val="center"/>
          </w:tcPr>
          <w:p>
            <w:pPr>
              <w:spacing w:line="240" w:lineRule="exact"/>
              <w:jc w:val="center"/>
              <w:rPr>
                <w:b/>
                <w:color w:val="FF0000"/>
              </w:rPr>
            </w:pPr>
            <w:r>
              <w:rPr>
                <w:b/>
                <w:color w:val="FF0000"/>
              </w:rPr>
              <w:t>Category of the Sub themes</w:t>
            </w:r>
          </w:p>
        </w:tc>
      </w:tr>
      <w:tr>
        <w:trPr>
          <w:trHeight w:val="1872"/>
        </w:trPr>
        <w:tc>
          <w:tcPr>
            <w:tcW w:w="1894" w:type="dxa"/>
            <w:gridSpan w:val="2"/>
            <w:vAlign w:val="center"/>
          </w:tcPr>
          <w:p>
            <w:pPr>
              <w:spacing w:line="360" w:lineRule="auto"/>
            </w:pPr>
            <w:r>
              <w:t xml:space="preserve"> Dr. Vimala B.N</w:t>
            </w:r>
          </w:p>
          <w:p>
            <w:pPr>
              <w:spacing w:line="240" w:lineRule="exact"/>
              <w:rPr>
                <w:b/>
                <w:bCs/>
                <w:iCs/>
                <w:color w:val="0070C0"/>
              </w:rPr>
            </w:pPr>
          </w:p>
        </w:tc>
        <w:tc>
          <w:tcPr>
            <w:tcW w:w="2191" w:type="dxa"/>
            <w:gridSpan w:val="2"/>
            <w:vAlign w:val="center"/>
          </w:tcPr>
          <w:p>
            <w:pPr>
              <w:tabs>
                <w:tab w:val="left" w:pos="711"/>
                <w:tab w:val="left" w:pos="6297"/>
              </w:tabs>
              <w:spacing w:before="120" w:after="120"/>
              <w:jc w:val="center"/>
              <w:rPr>
                <w:sz w:val="20"/>
                <w:szCs w:val="20"/>
              </w:rPr>
            </w:pPr>
            <w:r>
              <w:rPr>
                <w:sz w:val="20"/>
                <w:szCs w:val="20"/>
              </w:rPr>
              <w:t>Faculty Member</w:t>
            </w:r>
          </w:p>
          <w:p>
            <w:pPr>
              <w:tabs>
                <w:tab w:val="left" w:pos="711"/>
                <w:tab w:val="left" w:pos="6297"/>
              </w:tabs>
              <w:spacing w:before="120" w:after="120"/>
              <w:jc w:val="center"/>
              <w:rPr>
                <w:sz w:val="20"/>
                <w:szCs w:val="20"/>
              </w:rPr>
            </w:pPr>
            <w:r>
              <w:rPr>
                <w:sz w:val="20"/>
                <w:szCs w:val="20"/>
              </w:rPr>
              <w:t>Department of PG Studies in Commerce,</w:t>
            </w:r>
          </w:p>
          <w:p>
            <w:pPr>
              <w:tabs>
                <w:tab w:val="left" w:pos="711"/>
                <w:tab w:val="left" w:pos="6297"/>
              </w:tabs>
              <w:spacing w:before="120" w:after="120"/>
              <w:jc w:val="center"/>
              <w:rPr>
                <w:sz w:val="20"/>
                <w:szCs w:val="20"/>
              </w:rPr>
            </w:pPr>
            <w:r>
              <w:rPr>
                <w:sz w:val="20"/>
                <w:szCs w:val="20"/>
              </w:rPr>
              <w:t>Tunga Mahavidyalaya</w:t>
            </w:r>
          </w:p>
          <w:p>
            <w:pPr>
              <w:tabs>
                <w:tab w:val="left" w:pos="711"/>
                <w:tab w:val="left" w:pos="6297"/>
              </w:tabs>
              <w:spacing w:before="120" w:after="120"/>
              <w:jc w:val="center"/>
              <w:rPr>
                <w:sz w:val="20"/>
                <w:szCs w:val="20"/>
              </w:rPr>
            </w:pPr>
            <w:r>
              <w:rPr>
                <w:sz w:val="20"/>
                <w:szCs w:val="20"/>
              </w:rPr>
              <w:t>Thirthahalli.</w:t>
            </w:r>
          </w:p>
        </w:tc>
        <w:tc>
          <w:tcPr>
            <w:tcW w:w="965" w:type="dxa"/>
            <w:vAlign w:val="center"/>
          </w:tcPr>
          <w:p>
            <w:pPr>
              <w:spacing w:line="240" w:lineRule="exact"/>
              <w:rPr>
                <w:color w:val="800080"/>
              </w:rPr>
            </w:pPr>
            <w:r>
              <w:rPr>
                <w:color w:val="800080"/>
              </w:rPr>
              <w:t>8762611244</w:t>
            </w:r>
          </w:p>
          <w:p>
            <w:pPr>
              <w:spacing w:line="240" w:lineRule="exact"/>
              <w:rPr>
                <w:color w:val="800080"/>
              </w:rPr>
            </w:pPr>
          </w:p>
          <w:p>
            <w:pPr>
              <w:spacing w:line="240" w:lineRule="exact"/>
              <w:rPr>
                <w:color w:val="800080"/>
              </w:rPr>
            </w:pPr>
          </w:p>
          <w:p>
            <w:pPr>
              <w:spacing w:line="240" w:lineRule="exact"/>
              <w:rPr>
                <w:color w:val="800080"/>
              </w:rPr>
            </w:pPr>
            <w:r>
              <w:rPr>
                <w:color w:val="800080"/>
              </w:rPr>
              <w:t>8861935725</w:t>
            </w:r>
          </w:p>
          <w:p>
            <w:pPr>
              <w:spacing w:line="240" w:lineRule="exact"/>
              <w:rPr>
                <w:color w:val="800080"/>
              </w:rPr>
            </w:pPr>
          </w:p>
          <w:p>
            <w:pPr>
              <w:spacing w:line="240" w:lineRule="exact"/>
              <w:rPr>
                <w:color w:val="800080"/>
              </w:rPr>
            </w:pPr>
          </w:p>
          <w:p>
            <w:pPr>
              <w:spacing w:line="240" w:lineRule="exact"/>
              <w:rPr>
                <w:color w:val="800080"/>
              </w:rPr>
            </w:pPr>
          </w:p>
        </w:tc>
        <w:tc>
          <w:tcPr>
            <w:tcW w:w="1392" w:type="dxa"/>
            <w:vAlign w:val="center"/>
          </w:tcPr>
          <w:p>
            <w:pPr>
              <w:spacing w:line="240" w:lineRule="exact"/>
              <w:rPr>
                <w:color w:val="0070C0"/>
              </w:rPr>
            </w:pPr>
            <w:r>
              <w:rPr>
                <w:rStyle w:val="21"/>
              </w:rPr>
              <w:fldChar w:fldCharType="begin"/>
            </w:r>
            <w:r>
              <w:instrText>HYPERLINK "mailto:vimalabngowda@gmail.com"</w:instrText>
            </w:r>
            <w:r>
              <w:rPr>
                <w:rStyle w:val="21"/>
              </w:rPr>
              <w:fldChar w:fldCharType="separate"/>
            </w:r>
            <w:r>
              <w:rPr>
                <w:rStyle w:val="21"/>
              </w:rPr>
              <w:t>vimalabngowda@gmail.com</w:t>
            </w:r>
            <w:r>
              <w:rPr>
                <w:rStyle w:val="21"/>
              </w:rPr>
              <w:fldChar w:fldCharType="end"/>
            </w:r>
          </w:p>
          <w:p>
            <w:pPr>
              <w:spacing w:line="240" w:lineRule="exact"/>
              <w:rPr>
                <w:color w:val="0070C0"/>
              </w:rPr>
            </w:pPr>
          </w:p>
          <w:p>
            <w:pPr>
              <w:spacing w:line="240" w:lineRule="exact"/>
              <w:rPr>
                <w:color w:val="0070C0"/>
              </w:rPr>
            </w:pPr>
          </w:p>
          <w:p>
            <w:pPr>
              <w:spacing w:line="240" w:lineRule="exact"/>
              <w:rPr>
                <w:color w:val="0070C0"/>
              </w:rPr>
            </w:pPr>
          </w:p>
        </w:tc>
        <w:tc>
          <w:tcPr>
            <w:tcW w:w="2321" w:type="dxa"/>
            <w:vAlign w:val="center"/>
          </w:tcPr>
          <w:p>
            <w:pPr>
              <w:spacing w:line="360" w:lineRule="auto"/>
              <w:jc w:val="center"/>
              <w:rPr>
                <w:b/>
                <w:color w:val="002060"/>
                <w:sz w:val="20"/>
                <w:szCs w:val="20"/>
              </w:rPr>
            </w:pPr>
            <w:r>
              <w:rPr>
                <w:b/>
                <w:color w:val="002060"/>
                <w:sz w:val="20"/>
                <w:szCs w:val="20"/>
              </w:rPr>
              <w:t>Dimensions of Women Empowerment through Microfinance</w:t>
            </w:r>
          </w:p>
          <w:p>
            <w:pPr>
              <w:jc w:val="center"/>
              <w:rPr>
                <w:color w:val="7030A0"/>
                <w:sz w:val="20"/>
                <w:szCs w:val="20"/>
              </w:rPr>
            </w:pPr>
            <w:r>
              <w:rPr>
                <w:b/>
                <w:color w:val="002060"/>
                <w:sz w:val="20"/>
                <w:szCs w:val="20"/>
              </w:rPr>
              <w:t>(A Case Study of Shivamogga District</w:t>
            </w:r>
          </w:p>
        </w:tc>
        <w:tc>
          <w:tcPr>
            <w:tcW w:w="1597" w:type="dxa"/>
            <w:vAlign w:val="center"/>
          </w:tcPr>
          <w:p>
            <w:pPr>
              <w:autoSpaceDE w:val="0"/>
              <w:autoSpaceDN w:val="0"/>
              <w:adjustRightInd w:val="0"/>
              <w:rPr>
                <w:rFonts w:eastAsia="Calibri"/>
                <w:color w:val="000000"/>
              </w:rPr>
            </w:pPr>
          </w:p>
          <w:p>
            <w:pPr>
              <w:autoSpaceDE w:val="0"/>
              <w:autoSpaceDN w:val="0"/>
              <w:adjustRightInd w:val="0"/>
              <w:rPr>
                <w:b/>
                <w:color w:val="7030A0"/>
              </w:rPr>
            </w:pPr>
            <w:r>
              <w:rPr>
                <w:b/>
                <w:color w:val="365F91"/>
              </w:rPr>
              <w:t>Microfinance</w:t>
            </w:r>
          </w:p>
        </w:tc>
      </w:tr>
    </w:tbl>
    <w:p>
      <w:pPr>
        <w:spacing w:before="24" w:after="24" w:line="360" w:lineRule="auto"/>
        <w:outlineLvl w:val="1"/>
        <w:rPr>
          <w:color w:val="000099"/>
        </w:rPr>
      </w:pPr>
    </w:p>
    <w:p>
      <w:pPr>
        <w:spacing w:before="24" w:after="24" w:line="360" w:lineRule="auto"/>
        <w:outlineLvl w:val="1"/>
        <w:rPr>
          <w:color w:val="000099"/>
          <w:sz w:val="28"/>
          <w:szCs w:val="28"/>
        </w:rPr>
      </w:pPr>
      <w:r>
        <w:rPr>
          <w:color w:val="215868"/>
        </w:rPr>
        <w:t>Thanking you,</w:t>
      </w:r>
    </w:p>
    <w:p>
      <w:pPr>
        <w:jc w:val="both"/>
        <w:rPr>
          <w:color w:val="215868"/>
        </w:rPr>
      </w:pPr>
      <w:r>
        <w:rPr>
          <w:b/>
          <w:color w:val="215868"/>
        </w:rPr>
        <w:tab/>
        <w:tab/>
        <w:t xml:space="preserve">                                                                                                      Yours sincerely,</w:t>
      </w:r>
    </w:p>
    <w:p>
      <w:pPr>
        <w:jc w:val="both"/>
        <w:rPr>
          <w:b/>
          <w:color w:val="362F2D"/>
          <w:sz w:val="32"/>
          <w:szCs w:val="32"/>
        </w:rPr>
      </w:pPr>
      <w:r>
        <w:rPr>
          <w:bCs/>
          <w:iCs/>
          <w:color w:val="0070C0"/>
        </w:rPr>
        <w:t xml:space="preserve">                                                                                                                               Dr. Vimala B.N</w:t>
      </w: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r>
        <w:rPr>
          <w:b/>
          <w:color w:val="000000"/>
          <w:sz w:val="32"/>
          <w:szCs w:val="32"/>
        </w:rPr>
        <w:t>Dimensions of Women Empowerment through Microfinance</w:t>
      </w:r>
    </w:p>
    <w:p>
      <w:pPr>
        <w:spacing w:line="360" w:lineRule="auto"/>
        <w:jc w:val="center"/>
        <w:rPr>
          <w:b/>
          <w:color w:val="000000"/>
          <w:sz w:val="32"/>
          <w:szCs w:val="32"/>
        </w:rPr>
      </w:pPr>
      <w:r>
        <w:rPr>
          <w:b/>
          <w:color w:val="000000"/>
          <w:sz w:val="32"/>
          <w:szCs w:val="32"/>
        </w:rPr>
        <w:t>(A Case Study of Shivamogga District)</w:t>
      </w:r>
    </w:p>
    <w:p>
      <w:pPr>
        <w:spacing w:line="360" w:lineRule="auto"/>
        <w:rPr>
          <w:b/>
          <w:vertAlign w:val="superscript"/>
        </w:rPr>
      </w:pPr>
      <w:r>
        <w:rPr>
          <w:b/>
          <w:color w:val="000000"/>
          <w:sz w:val="32"/>
          <w:szCs w:val="32"/>
        </w:rPr>
        <w:t xml:space="preserve">                                                                       * </w:t>
      </w:r>
      <w:r>
        <w:rPr>
          <w:b/>
          <w:color w:val="000000"/>
        </w:rPr>
        <w:t>Dr.</w:t>
      </w:r>
      <w:r>
        <w:rPr>
          <w:b/>
        </w:rPr>
        <w:t>Vimala B.N</w:t>
      </w:r>
    </w:p>
    <w:p>
      <w:pPr>
        <w:spacing w:line="360" w:lineRule="auto"/>
        <w:jc w:val="both"/>
        <w:rPr>
          <w:b/>
          <w:sz w:val="32"/>
          <w:szCs w:val="32"/>
        </w:rPr>
      </w:pPr>
      <w:r>
        <w:rPr>
          <w:b/>
          <w:sz w:val="32"/>
          <w:szCs w:val="32"/>
        </w:rPr>
        <w:t>Abstract</w:t>
      </w:r>
    </w:p>
    <w:p>
      <w:pPr>
        <w:spacing w:line="360" w:lineRule="auto"/>
        <w:jc w:val="both"/>
        <w:rPr>
          <w:i/>
          <w:color w:val="000000"/>
        </w:rPr>
      </w:pPr>
      <w:r>
        <w:rPr>
          <w:i/>
        </w:rPr>
        <w:t xml:space="preserve"> </w:t>
        <w:tab/>
        <w:t xml:space="preserve">This article focuses on understand the </w:t>
      </w:r>
      <w:r>
        <w:rPr>
          <w:i/>
          <w:color w:val="000000"/>
        </w:rPr>
        <w:t xml:space="preserve">Dimensions of Women Empowerment through Microfinance. </w:t>
      </w:r>
      <w:r>
        <w:rPr>
          <w:i/>
        </w:rPr>
        <w:t xml:space="preserve">Microfinance in India has been posited as one of the key instrument not only in reducing poverty but also in empowering women. </w:t>
      </w:r>
    </w:p>
    <w:p>
      <w:pPr>
        <w:pBdr>
          <w:bottom w:val="single" w:sz="4" w:space="1" w:color="auto"/>
        </w:pBdr>
        <w:spacing w:line="360" w:lineRule="auto"/>
        <w:ind w:firstLine="720"/>
        <w:jc w:val="both"/>
        <w:rPr>
          <w:i/>
        </w:rPr>
      </w:pPr>
      <w:r>
        <w:rPr>
          <w:i/>
        </w:rPr>
        <w:t>Microfinance and SHGs are effective in reducing poverty empowering women and creating awareness which finally results in sustainable development of the nation. The main aim of microfinance is to empower women. Women make up a large proportion of microfinance beneficiaries. This paper based on the structured questionnaire and the data collected are arranged properly for the analysis.</w:t>
      </w:r>
      <w:r>
        <w:t xml:space="preserve"> </w:t>
      </w:r>
      <w:r>
        <w:rPr>
          <w:i/>
        </w:rPr>
        <w:t>There are different motivations for pursuing women empow.  The evaluation and interpretation will be made by using suitable statistical tools and techniques in order to arrive at an authenticated information about respondents they are members of SHGs opinions relating to Microfinance scheme. Finally this paper attempts to offer suitable suggestions and conclusions to new dimensions of Empowerment.</w:t>
      </w:r>
    </w:p>
    <w:p>
      <w:pPr>
        <w:pBdr>
          <w:bottom w:val="single" w:sz="4" w:space="1" w:color="auto"/>
        </w:pBdr>
        <w:spacing w:line="360" w:lineRule="auto"/>
        <w:jc w:val="both"/>
        <w:rPr>
          <w:i/>
        </w:rPr>
      </w:pPr>
      <w:r>
        <w:rPr>
          <w:b/>
        </w:rPr>
        <w:t xml:space="preserve">Key Words: </w:t>
      </w:r>
      <w:r>
        <w:rPr>
          <w:i/>
        </w:rPr>
        <w:t>Microfinance, Self help group,  Women Empowerment, Dimensions.</w:t>
      </w:r>
    </w:p>
    <w:p>
      <w:pPr>
        <w:tabs>
          <w:tab w:val="left" w:pos="6297"/>
        </w:tabs>
        <w:spacing w:line="360" w:lineRule="auto"/>
        <w:rPr>
          <w:b/>
          <w:sz w:val="28"/>
          <w:szCs w:val="28"/>
        </w:rPr>
      </w:pPr>
    </w:p>
    <w:p>
      <w:pPr>
        <w:pStyle w:val="16"/>
        <w:numPr>
          <w:ilvl w:val="0"/>
          <w:numId w:val="1"/>
        </w:numPr>
        <w:tabs>
          <w:tab w:val="left" w:pos="6297"/>
        </w:tabs>
        <w:spacing w:line="360" w:lineRule="auto"/>
        <w:rPr>
          <w:rFonts w:ascii="Times New Roman" w:cs="Times New Roman" w:hAnsi="Times New Roman"/>
          <w:b/>
          <w:sz w:val="28"/>
          <w:szCs w:val="28"/>
        </w:rPr>
      </w:pPr>
      <w:r>
        <w:rPr>
          <w:rFonts w:ascii="Times New Roman" w:cs="Times New Roman" w:hAnsi="Times New Roman"/>
          <w:b/>
          <w:sz w:val="28"/>
          <w:szCs w:val="28"/>
        </w:rPr>
        <w:t>Introduction.</w:t>
      </w:r>
    </w:p>
    <w:p>
      <w:pPr>
        <w:tabs>
          <w:tab w:val="left" w:pos="6297"/>
        </w:tabs>
        <w:spacing w:line="360" w:lineRule="auto"/>
        <w:ind w:left="360"/>
        <w:jc w:val="both"/>
        <w:rPr>
          <w:b/>
          <w:sz w:val="28"/>
          <w:szCs w:val="28"/>
        </w:rPr>
      </w:pPr>
      <w:r>
        <w:t>Microfinance is emerging as a powerful instrument for poverty alleviation in the developing economy. In India, the provision of Microfinance is dominated by Commercial Bank with the linkage of Self-Help Groups has become an effective method for providing financial services to the "poor who need financial support". This linkage of commercial banks and self-help groups has been successful in proving financial help to the rural poor women and also for strengthening collective self-help capabilities of the poor women, who may belong to the upper-middle class and lower middle class, in strengthening their financial resources. Microfinance program gives poor women and men to have access to savings and credit. The program has reached millions of people worldwide by bringing them together in organized groups. Though this cannot be a 'magic bullet', it has the potential to contribute significantly to gender equality and women empowerment. It works effectively for pro-poor development and strengthening women's society. It has contributed to women's ability to earn an income. These programs have the potential to initiate a series of 'virtuous spirals' of economic empowerment, increased well-being for women and their families by offering wider social and political empowerment.</w:t>
      </w:r>
    </w:p>
    <w:p>
      <w:pPr>
        <w:pBdr>
          <w:bottom w:val="single" w:sz="4" w:space="1" w:color="auto"/>
        </w:pBdr>
        <w:tabs>
          <w:tab w:val="left" w:pos="711"/>
          <w:tab w:val="left" w:pos="6297"/>
        </w:tabs>
        <w:spacing w:before="120" w:after="120" w:line="360" w:lineRule="auto"/>
        <w:ind w:left="360"/>
        <w:jc w:val="both"/>
      </w:pPr>
      <w:r>
        <w:tab/>
      </w:r>
    </w:p>
    <w:p>
      <w:pPr>
        <w:spacing w:before="20" w:afterLines="20" w:after="48" w:line="360" w:lineRule="auto"/>
        <w:jc w:val="both"/>
        <w:rPr>
          <w:b/>
          <w:sz w:val="28"/>
          <w:szCs w:val="28"/>
        </w:rPr>
      </w:pPr>
      <w:r>
        <w:rPr>
          <w:b/>
          <w:sz w:val="28"/>
          <w:szCs w:val="28"/>
        </w:rPr>
        <w:t>2. Review of literature.</w:t>
      </w:r>
    </w:p>
    <w:p>
      <w:pPr>
        <w:autoSpaceDE w:val="0"/>
        <w:autoSpaceDN w:val="0"/>
        <w:adjustRightInd w:val="0"/>
        <w:spacing w:line="480" w:lineRule="auto"/>
        <w:jc w:val="both"/>
      </w:pPr>
      <w:r>
        <w:rPr>
          <w:b/>
        </w:rPr>
        <w:t>Saurabh Kumar (September 2009)</w:t>
      </w:r>
      <w:r>
        <w:rPr>
          <w:b/>
          <w:vertAlign w:val="superscript"/>
        </w:rPr>
        <w:t>1</w:t>
      </w:r>
      <w:r>
        <w:t xml:space="preserve"> made a study on </w:t>
      </w:r>
      <w:r>
        <w:rPr>
          <w:b/>
        </w:rPr>
        <w:t>“New Dimensions of Empowerment”.</w:t>
      </w:r>
      <w:r>
        <w:t xml:space="preserve"> In this article, he stated the Experience of Microfinance Programs in the context of Liberalization and the extent to which Microfinance reaches rural women and its role in protecting and promoting livelihood efforts. </w:t>
      </w:r>
    </w:p>
    <w:p>
      <w:pPr>
        <w:autoSpaceDE w:val="0"/>
        <w:autoSpaceDN w:val="0"/>
        <w:adjustRightInd w:val="0"/>
        <w:spacing w:line="480" w:lineRule="auto"/>
        <w:jc w:val="both"/>
        <w:rPr>
          <w:b/>
        </w:rPr>
      </w:pPr>
      <w:r>
        <w:rPr>
          <w:b/>
        </w:rPr>
        <w:t>Dr. C. Nirmala (January 2012)</w:t>
      </w:r>
      <w:r>
        <w:rPr>
          <w:b/>
          <w:vertAlign w:val="superscript"/>
        </w:rPr>
        <w:t>2</w:t>
      </w:r>
      <w:r>
        <w:rPr>
          <w:b/>
        </w:rPr>
        <w:t xml:space="preserve"> </w:t>
      </w:r>
      <w:r>
        <w:t>made a study on</w:t>
      </w:r>
      <w:r>
        <w:rPr>
          <w:b/>
        </w:rPr>
        <w:t xml:space="preserve"> “Microfinance a Boon to Women Empowerment”. </w:t>
      </w:r>
      <w:r>
        <w:t xml:space="preserve">In her article, she stated that Microfinance is a well successful instrument for eradication of poverty most of the Government in developing countries in India has been playing a leading role in Micro financing program. </w:t>
      </w:r>
    </w:p>
    <w:p>
      <w:pPr>
        <w:autoSpaceDE w:val="0"/>
        <w:autoSpaceDN w:val="0"/>
        <w:adjustRightInd w:val="0"/>
        <w:spacing w:line="360" w:lineRule="auto"/>
        <w:jc w:val="both"/>
        <w:rPr>
          <w:b/>
          <w:sz w:val="28"/>
          <w:szCs w:val="28"/>
        </w:rPr>
      </w:pPr>
      <w:r>
        <w:rPr>
          <w:b/>
          <w:sz w:val="28"/>
          <w:szCs w:val="28"/>
        </w:rPr>
        <w:t>3. Statement of the Problem.</w:t>
      </w:r>
    </w:p>
    <w:p>
      <w:pPr>
        <w:tabs>
          <w:tab w:val="left" w:pos="6960"/>
        </w:tabs>
        <w:spacing w:line="480" w:lineRule="auto"/>
        <w:jc w:val="both"/>
      </w:pPr>
      <w:r>
        <w:rPr>
          <w:rFonts w:eastAsia="Calibri"/>
        </w:rPr>
        <w:t>Women empowerment provides the women, social, political, economic, and religious rights in the society. In this regard, the earlier studies focused on SHGs, Microfinance, and Women Empowerment, but still today, problems faced by women are continuing. Only some women might have empowered, its dimensions of women empowerment are difficult to identify.</w:t>
      </w:r>
    </w:p>
    <w:p>
      <w:pPr>
        <w:spacing w:line="480" w:lineRule="auto"/>
        <w:jc w:val="both"/>
      </w:pPr>
      <w:r>
        <w:t>In this regard, the researcher has found no studies relating to the study area. Therefore, current research is an attempt to fill these gaps.</w:t>
      </w:r>
    </w:p>
    <w:p>
      <w:pPr>
        <w:autoSpaceDE w:val="0"/>
        <w:autoSpaceDN w:val="0"/>
        <w:adjustRightInd w:val="0"/>
        <w:spacing w:line="360" w:lineRule="auto"/>
        <w:jc w:val="both"/>
        <w:rPr>
          <w:b/>
          <w:sz w:val="28"/>
          <w:szCs w:val="28"/>
        </w:rPr>
      </w:pPr>
      <w:r>
        <w:rPr>
          <w:b/>
          <w:sz w:val="28"/>
          <w:szCs w:val="28"/>
        </w:rPr>
        <w:t>4. Objectives of the study</w:t>
      </w:r>
    </w:p>
    <w:p>
      <w:pPr>
        <w:pStyle w:val="16"/>
        <w:numPr>
          <w:ilvl w:val="0"/>
          <w:numId w:val="2"/>
        </w:numPr>
        <w:tabs>
          <w:tab w:val="left" w:pos="2250"/>
          <w:tab w:val="left" w:pos="8460"/>
          <w:tab w:val="left" w:pos="9180"/>
        </w:tabs>
        <w:spacing w:line="360" w:lineRule="auto"/>
        <w:jc w:val="both"/>
        <w:rPr>
          <w:rFonts w:ascii="Times New Roman" w:cs="Times New Roman" w:hAnsi="Times New Roman"/>
          <w:sz w:val="24"/>
          <w:szCs w:val="24"/>
        </w:rPr>
      </w:pPr>
      <w:r>
        <w:rPr>
          <w:rFonts w:ascii="Times New Roman" w:cs="Times New Roman" w:hAnsi="Times New Roman"/>
          <w:sz w:val="24"/>
          <w:szCs w:val="24"/>
        </w:rPr>
        <w:t>To analyze the functioning of SHGs in the study area.</w:t>
      </w:r>
    </w:p>
    <w:p>
      <w:pPr>
        <w:pStyle w:val="16"/>
        <w:numPr>
          <w:ilvl w:val="0"/>
          <w:numId w:val="2"/>
        </w:numPr>
        <w:spacing w:after="160" w:line="360" w:lineRule="auto"/>
        <w:jc w:val="both"/>
        <w:rPr>
          <w:sz w:val="28"/>
          <w:szCs w:val="28"/>
        </w:rPr>
      </w:pPr>
      <w:r>
        <w:rPr>
          <w:rFonts w:ascii="Times New Roman" w:cs="Times New Roman" w:hAnsi="Times New Roman"/>
          <w:sz w:val="24"/>
          <w:szCs w:val="24"/>
        </w:rPr>
        <w:t>To examine the socio-economic status of SHGs members</w:t>
      </w:r>
      <w:r>
        <w:rPr>
          <w:sz w:val="28"/>
          <w:szCs w:val="28"/>
        </w:rPr>
        <w:t>.</w:t>
      </w:r>
    </w:p>
    <w:p>
      <w:pPr>
        <w:pStyle w:val="16"/>
        <w:numPr>
          <w:ilvl w:val="0"/>
          <w:numId w:val="2"/>
        </w:numPr>
        <w:spacing w:after="160" w:line="360" w:lineRule="auto"/>
        <w:jc w:val="both"/>
        <w:rPr>
          <w:sz w:val="28"/>
          <w:szCs w:val="28"/>
        </w:rPr>
      </w:pPr>
      <w:r>
        <w:rPr>
          <w:rFonts w:ascii="Times New Roman" w:cs="Times New Roman" w:hAnsi="Times New Roman"/>
          <w:sz w:val="24"/>
          <w:szCs w:val="24"/>
        </w:rPr>
        <w:t>To find the factors which determine dimensions of women empowerment.</w:t>
      </w:r>
    </w:p>
    <w:p>
      <w:pPr>
        <w:pStyle w:val="16"/>
        <w:numPr>
          <w:ilvl w:val="0"/>
          <w:numId w:val="2"/>
        </w:numPr>
        <w:spacing w:after="160" w:line="360" w:lineRule="auto"/>
        <w:jc w:val="both"/>
        <w:rPr>
          <w:rFonts w:ascii="Times New Roman" w:cs="Times New Roman" w:hAnsi="Times New Roman"/>
          <w:sz w:val="24"/>
          <w:szCs w:val="24"/>
        </w:rPr>
      </w:pPr>
      <w:r>
        <w:rPr>
          <w:rFonts w:ascii="Times New Roman" w:cs="Times New Roman" w:hAnsi="Times New Roman"/>
          <w:sz w:val="24"/>
          <w:szCs w:val="24"/>
        </w:rPr>
        <w:t>To analyze the challenges faced by women in utilizing the facilities provided by SHGs..</w:t>
      </w:r>
    </w:p>
    <w:p>
      <w:pPr>
        <w:pStyle w:val="16"/>
        <w:numPr>
          <w:ilvl w:val="0"/>
          <w:numId w:val="2"/>
        </w:numPr>
        <w:autoSpaceDE w:val="0"/>
        <w:autoSpaceDN w:val="0"/>
        <w:adjustRightInd w:val="0"/>
        <w:spacing w:line="360" w:lineRule="auto"/>
        <w:contextualSpacing/>
        <w:jc w:val="both"/>
        <w:rPr>
          <w:rFonts w:ascii="Times New Roman" w:cs="Times New Roman" w:hAnsi="Times New Roman"/>
          <w:sz w:val="24"/>
          <w:szCs w:val="24"/>
        </w:rPr>
      </w:pPr>
      <w:r>
        <w:rPr>
          <w:rFonts w:ascii="Times New Roman" w:cs="Times New Roman" w:hAnsi="Times New Roman"/>
          <w:sz w:val="24"/>
          <w:szCs w:val="24"/>
        </w:rPr>
        <w:t>To suggest a few suitable suggestions based on their findings.</w:t>
      </w:r>
    </w:p>
    <w:p>
      <w:pPr>
        <w:autoSpaceDE w:val="0"/>
        <w:autoSpaceDN w:val="0"/>
        <w:adjustRightInd w:val="0"/>
        <w:spacing w:line="360" w:lineRule="auto"/>
        <w:jc w:val="both"/>
        <w:rPr>
          <w:b/>
          <w:sz w:val="28"/>
          <w:szCs w:val="28"/>
        </w:rPr>
      </w:pPr>
      <w:r>
        <w:rPr>
          <w:b/>
          <w:sz w:val="28"/>
          <w:szCs w:val="28"/>
        </w:rPr>
        <w:t>5.  Scope of the study</w:t>
      </w:r>
    </w:p>
    <w:p>
      <w:pPr>
        <w:autoSpaceDE w:val="0"/>
        <w:autoSpaceDN w:val="0"/>
        <w:adjustRightInd w:val="0"/>
        <w:spacing w:line="360" w:lineRule="auto"/>
        <w:jc w:val="both"/>
      </w:pPr>
      <w:r>
        <w:t>The  study  has been  confined to  only to Shivamogga  District  and cover the fine  running of leading  system and  procedure  under  Microfinance in selected Self Help Groups.</w:t>
      </w:r>
    </w:p>
    <w:p>
      <w:pPr>
        <w:autoSpaceDE w:val="0"/>
        <w:autoSpaceDN w:val="0"/>
        <w:adjustRightInd w:val="0"/>
        <w:spacing w:line="360" w:lineRule="auto"/>
        <w:jc w:val="both"/>
        <w:rPr>
          <w:b/>
          <w:sz w:val="28"/>
          <w:szCs w:val="28"/>
        </w:rPr>
      </w:pPr>
      <w:r>
        <w:rPr>
          <w:b/>
          <w:sz w:val="28"/>
          <w:szCs w:val="28"/>
        </w:rPr>
        <w:t>6.  Research Methodology</w:t>
      </w:r>
    </w:p>
    <w:p>
      <w:pPr>
        <w:autoSpaceDE w:val="0"/>
        <w:autoSpaceDN w:val="0"/>
        <w:adjustRightInd w:val="0"/>
        <w:spacing w:line="360" w:lineRule="auto"/>
        <w:jc w:val="both"/>
        <w:rPr>
          <w:b/>
        </w:rPr>
      </w:pPr>
      <w:r>
        <w:t>The data collected from the both the primary and secondary source  are used for  the present study.   Primary  data the data have gathered  through  field  investigation and by administering  questionnaires  to members of selected SHGs    Secondary data are  collected  from published  source  like  books, Journals,  reports, data collected  from the difference  website</w:t>
      </w:r>
      <w:r>
        <w:rPr>
          <w:b/>
        </w:rPr>
        <w:t xml:space="preserve">.  </w:t>
      </w:r>
    </w:p>
    <w:p>
      <w:pPr>
        <w:autoSpaceDE w:val="0"/>
        <w:autoSpaceDN w:val="0"/>
        <w:adjustRightInd w:val="0"/>
        <w:spacing w:line="360" w:lineRule="auto"/>
        <w:jc w:val="both"/>
        <w:rPr>
          <w:b/>
          <w:sz w:val="28"/>
          <w:szCs w:val="28"/>
        </w:rPr>
      </w:pPr>
      <w:r>
        <w:rPr>
          <w:b/>
          <w:sz w:val="28"/>
          <w:szCs w:val="28"/>
        </w:rPr>
        <w:t xml:space="preserve">7.  Hypothesis of The  Study  </w:t>
      </w:r>
    </w:p>
    <w:p>
      <w:pPr>
        <w:pStyle w:val="16"/>
        <w:numPr>
          <w:ilvl w:val="0"/>
          <w:numId w:val="3"/>
        </w:numPr>
        <w:spacing w:after="160" w:line="360" w:lineRule="auto"/>
        <w:jc w:val="both"/>
        <w:rPr>
          <w:rFonts w:ascii="Times New Roman" w:cs="Times New Roman" w:hAnsi="Times New Roman"/>
          <w:sz w:val="24"/>
          <w:szCs w:val="24"/>
        </w:rPr>
      </w:pPr>
      <w:r>
        <w:rPr>
          <w:rFonts w:ascii="Times New Roman" w:cs="Times New Roman" w:hAnsi="Times New Roman"/>
          <w:sz w:val="24"/>
          <w:szCs w:val="24"/>
        </w:rPr>
        <w:t xml:space="preserve">The following  hypothesis is to be formulated for the  purpose of presence  </w:t>
      </w:r>
      <w:r>
        <w:rPr>
          <w:sz w:val="28"/>
          <w:szCs w:val="28"/>
        </w:rPr>
        <w:t xml:space="preserve">study  </w:t>
      </w: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w:t>
      </w:r>
      <w:r>
        <w:rPr>
          <w:rFonts w:ascii="Times New Roman" w:hAnsi="Times New Roman"/>
          <w:sz w:val="24"/>
          <w:szCs w:val="24"/>
        </w:rPr>
        <w:t xml:space="preserve"> There is no significant difference in the contribution of</w:t>
      </w:r>
      <w:r>
        <w:rPr>
          <w:rFonts w:ascii="Times New Roman" w:cs="Times New Roman" w:hAnsi="Times New Roman"/>
          <w:sz w:val="24"/>
          <w:szCs w:val="24"/>
        </w:rPr>
        <w:t xml:space="preserve"> Independent Variables (Economic Empowerment, Political Empowerment, Technical Empowerment, and Social Empowerment) on the dependents variable (Success Rate). </w:t>
      </w:r>
    </w:p>
    <w:p>
      <w:pPr>
        <w:pStyle w:val="16"/>
        <w:spacing w:after="160" w:line="360" w:lineRule="auto"/>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1</w:t>
      </w:r>
      <w:r>
        <w:rPr>
          <w:rFonts w:ascii="Times New Roman" w:cs="Times New Roman" w:hAnsi="Times New Roman"/>
          <w:sz w:val="24"/>
          <w:szCs w:val="24"/>
        </w:rPr>
        <w:t xml:space="preserve">: There is a significant </w:t>
      </w:r>
      <w:r>
        <w:rPr>
          <w:rFonts w:ascii="Times New Roman" w:hAnsi="Times New Roman"/>
          <w:sz w:val="24"/>
          <w:szCs w:val="24"/>
        </w:rPr>
        <w:t>difference in the contribution of</w:t>
      </w:r>
      <w:r>
        <w:rPr>
          <w:rFonts w:ascii="Times New Roman" w:cs="Times New Roman" w:hAnsi="Times New Roman"/>
          <w:sz w:val="24"/>
          <w:szCs w:val="24"/>
        </w:rPr>
        <w:t xml:space="preserve"> Independent Variables (Economic Empowerment, Political Empowerment, Technical Empowerment, and Social Empowerment) on the dependents variable (Success Rate). </w:t>
      </w:r>
    </w:p>
    <w:p>
      <w:pPr>
        <w:spacing w:line="480" w:lineRule="auto"/>
        <w:jc w:val="both"/>
      </w:pPr>
      <w:r>
        <w:rPr>
          <w:b/>
          <w:sz w:val="28"/>
          <w:szCs w:val="28"/>
        </w:rPr>
        <w:t>8.  Tools and Techniques</w:t>
      </w:r>
      <w:r>
        <w:rPr>
          <w:b/>
        </w:rPr>
        <w:t xml:space="preserve"> Hypotheses Testing:</w:t>
      </w:r>
      <w:r>
        <w:t xml:space="preserve"> To test the set of hypotheses, the researcher has adopted suitable techniques as One Way-ANOVA and Correlation. Correlation is used for the Dependency Test to describe the influence of two variables and One-Way ANOVA is used to check out the mean difference between three sample groups of the study. Further to prove the contribution of the independent variable on the dependent variable, the regression analysis is used.</w:t>
      </w:r>
    </w:p>
    <w:p>
      <w:pPr>
        <w:autoSpaceDE w:val="0"/>
        <w:autoSpaceDN w:val="0"/>
        <w:adjustRightInd w:val="0"/>
        <w:spacing w:line="360" w:lineRule="auto"/>
        <w:jc w:val="both"/>
      </w:pPr>
      <w:r>
        <w:rPr>
          <w:b/>
          <w:sz w:val="28"/>
          <w:szCs w:val="28"/>
        </w:rPr>
        <w:t>9. Sampling Design</w:t>
      </w:r>
      <w:r>
        <w:rPr>
          <w:b/>
        </w:rPr>
        <w:t xml:space="preserve">   </w:t>
      </w:r>
    </w:p>
    <w:p>
      <w:pPr>
        <w:autoSpaceDE w:val="0"/>
        <w:autoSpaceDN w:val="0"/>
        <w:adjustRightInd w:val="0"/>
        <w:spacing w:line="360" w:lineRule="auto"/>
        <w:jc w:val="both"/>
      </w:pPr>
      <w:r>
        <w:t>The  target  sample of the present study  covers  100 samples from  the selected  SHGs  in the  Shivmogga District</w:t>
      </w:r>
      <w:r>
        <w:rPr>
          <w:b/>
        </w:rPr>
        <w:t xml:space="preserve">.   </w:t>
      </w:r>
    </w:p>
    <w:p>
      <w:pPr>
        <w:autoSpaceDE w:val="0"/>
        <w:autoSpaceDN w:val="0"/>
        <w:adjustRightInd w:val="0"/>
        <w:spacing w:line="360" w:lineRule="auto"/>
        <w:jc w:val="both"/>
        <w:rPr>
          <w:b/>
          <w:sz w:val="28"/>
          <w:szCs w:val="28"/>
        </w:rPr>
      </w:pPr>
      <w:r>
        <w:rPr>
          <w:b/>
        </w:rPr>
        <w:t xml:space="preserve">10. </w:t>
      </w:r>
      <w:r>
        <w:rPr>
          <w:b/>
          <w:sz w:val="28"/>
          <w:szCs w:val="28"/>
        </w:rPr>
        <w:t xml:space="preserve">Profile of The Shivmogga District </w:t>
      </w:r>
    </w:p>
    <w:p>
      <w:pPr>
        <w:autoSpaceDE w:val="0"/>
        <w:autoSpaceDN w:val="0"/>
        <w:adjustRightInd w:val="0"/>
        <w:spacing w:line="360" w:lineRule="auto"/>
        <w:ind w:firstLine="720"/>
        <w:jc w:val="both"/>
      </w:pPr>
      <w:r>
        <w:t>Shivamogga district has two administrative  divisions , 07 Taluks viz., Bhadravathi, Hosanagara, Sagara, Shikaripura, Shimoga, Soraba and Thirthahalli. Number of panchayat/ Village are 260/1530.</w:t>
      </w:r>
    </w:p>
    <w:p>
      <w:pPr>
        <w:spacing w:before="120" w:after="120" w:line="360" w:lineRule="auto"/>
        <w:rPr>
          <w:b/>
          <w:sz w:val="28"/>
          <w:szCs w:val="28"/>
        </w:rPr>
      </w:pPr>
      <w:r>
        <w:rPr>
          <w:b/>
          <w:sz w:val="28"/>
          <w:szCs w:val="28"/>
        </w:rPr>
        <w:t>11. Concept of Self Help Groups</w:t>
      </w:r>
    </w:p>
    <w:p>
      <w:pPr>
        <w:spacing w:before="120" w:after="120" w:line="360" w:lineRule="auto"/>
        <w:ind w:firstLine="720"/>
        <w:jc w:val="both"/>
      </w:pPr>
      <w:r>
        <w:t xml:space="preserve">The Self-Help groups are small informal associations formed with the objective of enabling members to reap economic benefits out of mutual help. </w:t>
      </w:r>
    </w:p>
    <w:p>
      <w:pPr>
        <w:spacing w:line="360" w:lineRule="auto"/>
        <w:jc w:val="both"/>
        <w:rPr>
          <w:b/>
          <w:color w:val="000000"/>
          <w:sz w:val="28"/>
          <w:szCs w:val="28"/>
        </w:rPr>
      </w:pPr>
      <w:r>
        <w:rPr>
          <w:b/>
          <w:color w:val="000000"/>
          <w:sz w:val="28"/>
          <w:szCs w:val="28"/>
        </w:rPr>
        <w:t>12.  Concept of Microfinance</w:t>
      </w:r>
    </w:p>
    <w:p>
      <w:pPr>
        <w:spacing w:before="120" w:after="120" w:line="360" w:lineRule="auto"/>
        <w:ind w:firstLine="720"/>
        <w:jc w:val="both"/>
        <w:rPr>
          <w:color w:val="000000"/>
        </w:rPr>
      </w:pPr>
      <w:r>
        <w:rPr>
          <w:color w:val="000000"/>
        </w:rPr>
        <w:t xml:space="preserve">Microfinance refers to the entire range of financial and non financial services including skill up gradation and Entrepreneurship development rendered to rural poor for enabling them to overcome poverty. </w:t>
      </w:r>
    </w:p>
    <w:p>
      <w:pPr>
        <w:spacing w:before="120" w:after="120" w:line="360" w:lineRule="auto"/>
        <w:ind w:firstLine="720"/>
        <w:jc w:val="both"/>
        <w:rPr>
          <w:color w:val="000000"/>
        </w:rPr>
      </w:pPr>
      <w:r>
        <w:rPr>
          <w:b/>
          <w:sz w:val="28"/>
          <w:szCs w:val="28"/>
        </w:rPr>
        <w:t xml:space="preserve">13. Analysis and Interpretation  </w:t>
      </w:r>
    </w:p>
    <w:tbl>
      <w:tblPr>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242"/>
      </w:tblGrid>
      <w:tr>
        <w:trPr>
          <w:trHeight w:val="2090"/>
        </w:trPr>
        <w:tc>
          <w:tcPr>
            <w:tcW w:w="9242" w:type="dxa"/>
          </w:tcPr>
          <w:p>
            <w:pPr>
              <w:ind w:left="360"/>
              <w:jc w:val="both"/>
              <w:rPr>
                <w:b/>
              </w:rPr>
            </w:pPr>
            <w:r>
              <w:rPr>
                <w:b/>
              </w:rPr>
              <w:t xml:space="preserve">Hypothesis-1 </w:t>
            </w:r>
          </w:p>
          <w:p>
            <w:pPr>
              <w:ind w:left="360"/>
              <w:jc w:val="both"/>
              <w:rPr>
                <w:b/>
              </w:rPr>
            </w:pPr>
          </w:p>
          <w:p>
            <w:pPr>
              <w:pStyle w:val="16"/>
              <w:numPr>
                <w:ilvl w:val="0"/>
                <w:numId w:val="4"/>
              </w:numPr>
              <w:spacing w:after="0" w:line="240" w:lineRule="auto"/>
              <w:jc w:val="both"/>
              <w:rPr>
                <w:rFonts w:ascii="Times New Roman" w:cs="Times New Roman" w:hAnsi="Times New Roman"/>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0</w:t>
            </w:r>
            <w:r>
              <w:rPr>
                <w:rFonts w:ascii="Times New Roman" w:hAnsi="Times New Roman"/>
                <w:b/>
                <w:sz w:val="24"/>
                <w:szCs w:val="24"/>
              </w:rPr>
              <w:t xml:space="preserve"> There is no significant difference in the contribution of</w:t>
            </w:r>
            <w:r>
              <w:rPr>
                <w:rFonts w:ascii="Times New Roman" w:cs="Times New Roman" w:hAnsi="Times New Roman"/>
                <w:b/>
                <w:sz w:val="24"/>
                <w:szCs w:val="24"/>
              </w:rPr>
              <w:t xml:space="preserve"> independent Variables (Economic Empowerment, Political Empowerment, Technical Empowerment, and Social Empowerment) on dependents variable (Success Rate) </w:t>
            </w:r>
          </w:p>
          <w:p>
            <w:pPr>
              <w:ind w:left="360"/>
              <w:jc w:val="both"/>
            </w:pPr>
          </w:p>
          <w:p>
            <w:pPr>
              <w:pStyle w:val="16"/>
              <w:jc w:val="both"/>
              <w:rPr>
                <w:rFonts w:ascii="Times New Roman" w:cs="Times New Roman" w:hAnsi="Times New Roman"/>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1</w:t>
            </w:r>
            <w:r>
              <w:rPr>
                <w:rFonts w:ascii="Times New Roman" w:cs="Times New Roman" w:hAnsi="Times New Roman"/>
                <w:b/>
                <w:sz w:val="24"/>
                <w:szCs w:val="24"/>
              </w:rPr>
              <w:t xml:space="preserve"> There is a significant </w:t>
            </w:r>
            <w:r>
              <w:rPr>
                <w:rFonts w:ascii="Times New Roman" w:hAnsi="Times New Roman"/>
                <w:b/>
                <w:sz w:val="24"/>
                <w:szCs w:val="24"/>
              </w:rPr>
              <w:t>difference in the contribution of</w:t>
            </w:r>
            <w:r>
              <w:rPr>
                <w:rFonts w:ascii="Times New Roman" w:cs="Times New Roman" w:hAnsi="Times New Roman"/>
                <w:b/>
                <w:sz w:val="24"/>
                <w:szCs w:val="24"/>
              </w:rPr>
              <w:t xml:space="preserve"> independent Variables (Economic Empowerment, Political Empowerment, Technical Empowerment, and Social Empowerment) on dependents variable (Success Rate) </w:t>
            </w:r>
          </w:p>
        </w:tc>
      </w:tr>
    </w:tbl>
    <w:p>
      <w:pPr>
        <w:spacing w:line="480" w:lineRule="auto"/>
        <w:jc w:val="both"/>
      </w:pPr>
    </w:p>
    <w:p>
      <w:pPr>
        <w:jc w:val="center"/>
        <w:rPr>
          <w:b/>
        </w:rPr>
      </w:pPr>
      <w:r>
        <w:rPr>
          <w:b/>
          <w:bCs/>
        </w:rPr>
        <w:t xml:space="preserve">Table 1: Shows </w:t>
      </w:r>
      <w:r>
        <w:rPr>
          <w:b/>
        </w:rPr>
        <w:t>Regression</w:t>
      </w:r>
      <w:r>
        <w:rPr>
          <w:b/>
          <w:bCs/>
        </w:rPr>
        <w:t xml:space="preserve"> Co-efficient of Contribution of Women Empowerment to Success Rate (Model Summary)</w:t>
      </w:r>
    </w:p>
    <w:p>
      <w:pPr>
        <w:pStyle w:val="16"/>
        <w:tabs>
          <w:tab w:val="left" w:pos="3210"/>
        </w:tabs>
        <w:spacing w:after="0"/>
        <w:rPr>
          <w:rFonts w:ascii="Times New Roman" w:hAnsi="Times New Roman"/>
          <w:sz w:val="24"/>
          <w:szCs w:val="24"/>
        </w:rPr>
      </w:pP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840"/>
        <w:gridCol w:w="1949"/>
        <w:gridCol w:w="2674"/>
        <w:gridCol w:w="2907"/>
      </w:tblGrid>
      <w:tr>
        <w:trPr>
          <w:cantSplit/>
        </w:trPr>
        <w:tc>
          <w:tcPr>
            <w:tcW w:w="982" w:type="pct"/>
            <w:shd w:val="clear" w:color="auto" w:fill="BFBFBF"/>
            <w:vAlign w:val="center"/>
          </w:tcPr>
          <w:p>
            <w:pPr>
              <w:autoSpaceDE w:val="0"/>
              <w:autoSpaceDN w:val="0"/>
              <w:adjustRightInd w:val="0"/>
              <w:spacing w:line="360" w:lineRule="auto"/>
              <w:ind w:left="60" w:right="60"/>
              <w:jc w:val="center"/>
              <w:rPr>
                <w:b/>
              </w:rPr>
            </w:pPr>
            <w:r>
              <w:rPr>
                <w:b/>
              </w:rPr>
              <w:t>R</w:t>
            </w:r>
          </w:p>
        </w:tc>
        <w:tc>
          <w:tcPr>
            <w:tcW w:w="1040" w:type="pct"/>
            <w:shd w:val="clear" w:color="auto" w:fill="BFBFBF"/>
            <w:vAlign w:val="center"/>
          </w:tcPr>
          <w:p>
            <w:pPr>
              <w:autoSpaceDE w:val="0"/>
              <w:autoSpaceDN w:val="0"/>
              <w:adjustRightInd w:val="0"/>
              <w:spacing w:line="360" w:lineRule="auto"/>
              <w:ind w:left="60" w:right="60"/>
              <w:jc w:val="center"/>
              <w:rPr>
                <w:b/>
              </w:rPr>
            </w:pPr>
            <w:r>
              <w:rPr>
                <w:b/>
              </w:rPr>
              <w:t>R Square</w:t>
            </w:r>
          </w:p>
        </w:tc>
        <w:tc>
          <w:tcPr>
            <w:tcW w:w="1427" w:type="pct"/>
            <w:shd w:val="clear" w:color="auto" w:fill="BFBFBF"/>
            <w:vAlign w:val="center"/>
          </w:tcPr>
          <w:p>
            <w:pPr>
              <w:autoSpaceDE w:val="0"/>
              <w:autoSpaceDN w:val="0"/>
              <w:adjustRightInd w:val="0"/>
              <w:spacing w:line="360" w:lineRule="auto"/>
              <w:ind w:left="60" w:right="60"/>
              <w:jc w:val="center"/>
              <w:rPr>
                <w:b/>
              </w:rPr>
            </w:pPr>
            <w:r>
              <w:rPr>
                <w:b/>
              </w:rPr>
              <w:t>Adjusted R Square</w:t>
            </w:r>
          </w:p>
        </w:tc>
        <w:tc>
          <w:tcPr>
            <w:tcW w:w="1551" w:type="pct"/>
            <w:shd w:val="clear" w:color="auto" w:fill="BFBFBF"/>
            <w:vAlign w:val="center"/>
          </w:tcPr>
          <w:p>
            <w:pPr>
              <w:autoSpaceDE w:val="0"/>
              <w:autoSpaceDN w:val="0"/>
              <w:adjustRightInd w:val="0"/>
              <w:spacing w:line="360" w:lineRule="auto"/>
              <w:ind w:left="60" w:right="60"/>
              <w:jc w:val="center"/>
              <w:rPr>
                <w:b/>
              </w:rPr>
            </w:pPr>
            <w:r>
              <w:rPr>
                <w:b/>
              </w:rPr>
              <w:t>Std. The error of the Estimate</w:t>
            </w:r>
          </w:p>
        </w:tc>
      </w:tr>
      <w:tr>
        <w:trPr>
          <w:cantSplit/>
          <w:trHeight w:val="315"/>
        </w:trPr>
        <w:tc>
          <w:tcPr>
            <w:tcW w:w="982" w:type="pct"/>
            <w:shd w:val="clear" w:color="auto" w:fill="FFFFFF"/>
            <w:vAlign w:val="center"/>
          </w:tcPr>
          <w:p>
            <w:pPr>
              <w:jc w:val="center"/>
            </w:pPr>
            <w:r>
              <w:t>.923</w:t>
            </w:r>
            <w:r>
              <w:rPr>
                <w:vertAlign w:val="superscript"/>
              </w:rPr>
              <w:t>a</w:t>
            </w:r>
          </w:p>
        </w:tc>
        <w:tc>
          <w:tcPr>
            <w:tcW w:w="1040" w:type="pct"/>
            <w:shd w:val="clear" w:color="auto" w:fill="FFFFFF"/>
            <w:vAlign w:val="center"/>
          </w:tcPr>
          <w:p>
            <w:pPr>
              <w:jc w:val="center"/>
            </w:pPr>
            <w:r>
              <w:t>.851</w:t>
            </w:r>
          </w:p>
        </w:tc>
        <w:tc>
          <w:tcPr>
            <w:tcW w:w="1427" w:type="pct"/>
            <w:shd w:val="clear" w:color="auto" w:fill="FFFFFF"/>
            <w:vAlign w:val="center"/>
          </w:tcPr>
          <w:p>
            <w:pPr>
              <w:jc w:val="center"/>
            </w:pPr>
            <w:r>
              <w:t>.851</w:t>
            </w:r>
          </w:p>
        </w:tc>
        <w:tc>
          <w:tcPr>
            <w:tcW w:w="1551" w:type="pct"/>
            <w:shd w:val="clear" w:color="auto" w:fill="FFFFFF"/>
            <w:vAlign w:val="center"/>
          </w:tcPr>
          <w:p>
            <w:pPr>
              <w:jc w:val="center"/>
            </w:pPr>
            <w:r>
              <w:t>1.17356</w:t>
            </w:r>
          </w:p>
        </w:tc>
      </w:tr>
    </w:tbl>
    <w:p>
      <w:pPr>
        <w:pStyle w:val="16"/>
        <w:tabs>
          <w:tab w:val="left" w:pos="3210"/>
        </w:tabs>
        <w:spacing w:after="0"/>
        <w:rPr>
          <w:rFonts w:ascii="Times New Roman" w:hAnsi="Times New Roman"/>
          <w:sz w:val="24"/>
          <w:szCs w:val="24"/>
        </w:rPr>
      </w:pPr>
    </w:p>
    <w:p>
      <w:pPr>
        <w:autoSpaceDE w:val="0"/>
        <w:autoSpaceDN w:val="0"/>
        <w:adjustRightInd w:val="0"/>
        <w:spacing w:line="360" w:lineRule="auto"/>
        <w:jc w:val="center"/>
        <w:rPr>
          <w:b/>
        </w:rPr>
      </w:pPr>
      <w:r>
        <w:rPr>
          <w:b/>
          <w:bCs/>
        </w:rPr>
        <w:t xml:space="preserve">Table 4.65 </w:t>
      </w:r>
      <w:r>
        <w:rPr>
          <w:b/>
          <w:iCs/>
        </w:rPr>
        <w:t>Summary of ANOVA for Regression</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664"/>
        <w:gridCol w:w="1921"/>
        <w:gridCol w:w="1321"/>
        <w:gridCol w:w="1822"/>
        <w:gridCol w:w="1321"/>
        <w:gridCol w:w="1321"/>
      </w:tblGrid>
      <w:tr>
        <w:trPr>
          <w:cantSplit/>
        </w:trPr>
        <w:tc>
          <w:tcPr>
            <w:tcW w:w="888" w:type="pct"/>
            <w:shd w:val="clear" w:color="auto" w:fill="BFBFBF"/>
          </w:tcPr>
          <w:p>
            <w:pPr>
              <w:autoSpaceDE w:val="0"/>
              <w:autoSpaceDN w:val="0"/>
              <w:adjustRightInd w:val="0"/>
              <w:spacing w:line="360" w:lineRule="auto"/>
              <w:ind w:left="289" w:right="60"/>
              <w:jc w:val="center"/>
              <w:rPr>
                <w:b/>
              </w:rPr>
            </w:pPr>
            <w:r>
              <w:rPr>
                <w:b/>
              </w:rPr>
              <w:t>Model</w:t>
            </w:r>
          </w:p>
        </w:tc>
        <w:tc>
          <w:tcPr>
            <w:tcW w:w="1025" w:type="pct"/>
            <w:shd w:val="clear" w:color="auto" w:fill="BFBFBF"/>
          </w:tcPr>
          <w:p>
            <w:pPr>
              <w:autoSpaceDE w:val="0"/>
              <w:autoSpaceDN w:val="0"/>
              <w:adjustRightInd w:val="0"/>
              <w:spacing w:line="360" w:lineRule="auto"/>
              <w:ind w:left="60" w:right="60"/>
              <w:jc w:val="center"/>
              <w:rPr>
                <w:b/>
              </w:rPr>
            </w:pPr>
            <w:r>
              <w:rPr>
                <w:b/>
              </w:rPr>
              <w:t>Sum of Squares</w:t>
            </w:r>
          </w:p>
        </w:tc>
        <w:tc>
          <w:tcPr>
            <w:tcW w:w="705" w:type="pct"/>
            <w:shd w:val="clear" w:color="auto" w:fill="BFBFBF"/>
          </w:tcPr>
          <w:p>
            <w:pPr>
              <w:autoSpaceDE w:val="0"/>
              <w:autoSpaceDN w:val="0"/>
              <w:adjustRightInd w:val="0"/>
              <w:spacing w:line="360" w:lineRule="auto"/>
              <w:ind w:left="60" w:right="60"/>
              <w:jc w:val="center"/>
              <w:rPr>
                <w:b/>
              </w:rPr>
            </w:pPr>
            <w:r>
              <w:rPr>
                <w:b/>
              </w:rPr>
              <w:t>df</w:t>
            </w:r>
          </w:p>
        </w:tc>
        <w:tc>
          <w:tcPr>
            <w:tcW w:w="972" w:type="pct"/>
            <w:shd w:val="clear" w:color="auto" w:fill="BFBFBF"/>
          </w:tcPr>
          <w:p>
            <w:pPr>
              <w:autoSpaceDE w:val="0"/>
              <w:autoSpaceDN w:val="0"/>
              <w:adjustRightInd w:val="0"/>
              <w:spacing w:line="360" w:lineRule="auto"/>
              <w:ind w:left="60" w:right="60"/>
              <w:jc w:val="center"/>
              <w:rPr>
                <w:b/>
              </w:rPr>
            </w:pPr>
            <w:r>
              <w:rPr>
                <w:b/>
              </w:rPr>
              <w:t>Mean Square</w:t>
            </w:r>
          </w:p>
        </w:tc>
        <w:tc>
          <w:tcPr>
            <w:tcW w:w="705" w:type="pct"/>
            <w:shd w:val="clear" w:color="auto" w:fill="BFBFBF"/>
          </w:tcPr>
          <w:p>
            <w:pPr>
              <w:autoSpaceDE w:val="0"/>
              <w:autoSpaceDN w:val="0"/>
              <w:adjustRightInd w:val="0"/>
              <w:spacing w:line="360" w:lineRule="auto"/>
              <w:ind w:left="60" w:right="60"/>
              <w:jc w:val="center"/>
              <w:rPr>
                <w:b/>
              </w:rPr>
            </w:pPr>
            <w:r>
              <w:rPr>
                <w:b/>
              </w:rPr>
              <w:t>F</w:t>
            </w:r>
          </w:p>
        </w:tc>
        <w:tc>
          <w:tcPr>
            <w:tcW w:w="705" w:type="pct"/>
            <w:shd w:val="clear" w:color="auto" w:fill="BFBFBF"/>
          </w:tcPr>
          <w:p>
            <w:pPr>
              <w:autoSpaceDE w:val="0"/>
              <w:autoSpaceDN w:val="0"/>
              <w:adjustRightInd w:val="0"/>
              <w:spacing w:line="360" w:lineRule="auto"/>
              <w:ind w:left="60" w:right="60"/>
              <w:jc w:val="center"/>
              <w:rPr>
                <w:b/>
              </w:rPr>
            </w:pPr>
            <w:r>
              <w:rPr>
                <w:b/>
              </w:rPr>
              <w:t>Sig.</w:t>
            </w:r>
          </w:p>
        </w:tc>
      </w:tr>
      <w:tr>
        <w:trPr>
          <w:cantSplit/>
        </w:trPr>
        <w:tc>
          <w:tcPr>
            <w:tcW w:w="888" w:type="pct"/>
            <w:shd w:val="clear" w:color="auto" w:fill="FFFFFF"/>
          </w:tcPr>
          <w:p>
            <w:pPr>
              <w:autoSpaceDE w:val="0"/>
              <w:autoSpaceDN w:val="0"/>
              <w:adjustRightInd w:val="0"/>
              <w:spacing w:line="360" w:lineRule="auto"/>
              <w:ind w:left="289" w:right="60"/>
              <w:jc w:val="center"/>
            </w:pPr>
            <w:r>
              <w:t>Regression</w:t>
            </w:r>
          </w:p>
        </w:tc>
        <w:tc>
          <w:tcPr>
            <w:tcW w:w="1025" w:type="pct"/>
            <w:shd w:val="clear" w:color="auto" w:fill="FFFFFF"/>
            <w:vAlign w:val="center"/>
          </w:tcPr>
          <w:p>
            <w:pPr>
              <w:jc w:val="center"/>
            </w:pPr>
            <w:r>
              <w:t>8000.028</w:t>
            </w:r>
          </w:p>
        </w:tc>
        <w:tc>
          <w:tcPr>
            <w:tcW w:w="705" w:type="pct"/>
            <w:shd w:val="clear" w:color="auto" w:fill="FFFFFF"/>
            <w:vAlign w:val="center"/>
          </w:tcPr>
          <w:p>
            <w:pPr>
              <w:jc w:val="center"/>
            </w:pPr>
            <w:r>
              <w:t>5</w:t>
            </w:r>
          </w:p>
        </w:tc>
        <w:tc>
          <w:tcPr>
            <w:tcW w:w="972" w:type="pct"/>
            <w:shd w:val="clear" w:color="auto" w:fill="FFFFFF"/>
            <w:vAlign w:val="center"/>
          </w:tcPr>
          <w:p>
            <w:pPr>
              <w:jc w:val="center"/>
            </w:pPr>
            <w:r>
              <w:t>1600.006</w:t>
            </w:r>
          </w:p>
        </w:tc>
        <w:tc>
          <w:tcPr>
            <w:tcW w:w="705" w:type="pct"/>
            <w:shd w:val="clear" w:color="auto" w:fill="FFFFFF"/>
            <w:vAlign w:val="center"/>
          </w:tcPr>
          <w:p>
            <w:pPr>
              <w:jc w:val="center"/>
            </w:pPr>
            <w:r>
              <w:t>1153.528</w:t>
            </w:r>
          </w:p>
        </w:tc>
        <w:tc>
          <w:tcPr>
            <w:tcW w:w="705" w:type="pct"/>
            <w:shd w:val="clear" w:color="auto" w:fill="FFFFFF"/>
            <w:vAlign w:val="center"/>
          </w:tcPr>
          <w:p>
            <w:pPr>
              <w:jc w:val="center"/>
            </w:pPr>
            <w:r>
              <w:t>.000</w:t>
            </w:r>
            <w:r>
              <w:rPr>
                <w:vertAlign w:val="superscript"/>
              </w:rPr>
              <w:t>b</w:t>
            </w:r>
          </w:p>
        </w:tc>
      </w:tr>
      <w:tr>
        <w:trPr>
          <w:cantSplit/>
        </w:trPr>
        <w:tc>
          <w:tcPr>
            <w:tcW w:w="888" w:type="pct"/>
            <w:shd w:val="clear" w:color="auto" w:fill="FFFFFF"/>
          </w:tcPr>
          <w:p>
            <w:pPr>
              <w:autoSpaceDE w:val="0"/>
              <w:autoSpaceDN w:val="0"/>
              <w:adjustRightInd w:val="0"/>
              <w:spacing w:line="360" w:lineRule="auto"/>
              <w:ind w:left="289" w:right="60"/>
              <w:jc w:val="center"/>
            </w:pPr>
            <w:r>
              <w:t>Residual</w:t>
            </w:r>
          </w:p>
        </w:tc>
        <w:tc>
          <w:tcPr>
            <w:tcW w:w="1025" w:type="pct"/>
            <w:shd w:val="clear" w:color="auto" w:fill="FFFFFF"/>
            <w:vAlign w:val="center"/>
          </w:tcPr>
          <w:p>
            <w:pPr>
              <w:jc w:val="center"/>
            </w:pPr>
            <w:r>
              <w:t>815.424</w:t>
            </w:r>
          </w:p>
        </w:tc>
        <w:tc>
          <w:tcPr>
            <w:tcW w:w="705" w:type="pct"/>
            <w:shd w:val="clear" w:color="auto" w:fill="FFFFFF"/>
            <w:vAlign w:val="center"/>
          </w:tcPr>
          <w:p>
            <w:pPr>
              <w:jc w:val="center"/>
            </w:pPr>
            <w:r>
              <w:t>593</w:t>
            </w:r>
          </w:p>
        </w:tc>
        <w:tc>
          <w:tcPr>
            <w:tcW w:w="972" w:type="pct"/>
            <w:shd w:val="clear" w:color="auto" w:fill="FFFFFF"/>
            <w:vAlign w:val="center"/>
          </w:tcPr>
          <w:p>
            <w:pPr>
              <w:jc w:val="center"/>
            </w:pPr>
            <w:r>
              <w:t>1.375</w:t>
            </w:r>
          </w:p>
        </w:tc>
        <w:tc>
          <w:tcPr>
            <w:tcW w:w="705" w:type="pct"/>
            <w:shd w:val="clear" w:color="auto" w:fill="FFFFFF"/>
            <w:vAlign w:val="center"/>
          </w:tcPr>
          <w:p>
            <w:pPr>
              <w:jc w:val="center"/>
            </w:pPr>
          </w:p>
        </w:tc>
        <w:tc>
          <w:tcPr>
            <w:tcW w:w="705" w:type="pct"/>
            <w:shd w:val="clear" w:color="auto" w:fill="FFFFFF"/>
            <w:vAlign w:val="center"/>
          </w:tcPr>
          <w:p>
            <w:pPr>
              <w:jc w:val="center"/>
            </w:pPr>
          </w:p>
        </w:tc>
      </w:tr>
      <w:tr>
        <w:trPr>
          <w:cantSplit/>
        </w:trPr>
        <w:tc>
          <w:tcPr>
            <w:tcW w:w="888" w:type="pct"/>
            <w:shd w:val="clear" w:color="auto" w:fill="FFFFFF"/>
          </w:tcPr>
          <w:p>
            <w:pPr>
              <w:autoSpaceDE w:val="0"/>
              <w:autoSpaceDN w:val="0"/>
              <w:adjustRightInd w:val="0"/>
              <w:spacing w:line="360" w:lineRule="auto"/>
              <w:ind w:left="289" w:right="60"/>
              <w:jc w:val="center"/>
            </w:pPr>
            <w:r>
              <w:t>Total</w:t>
            </w:r>
          </w:p>
        </w:tc>
        <w:tc>
          <w:tcPr>
            <w:tcW w:w="1025" w:type="pct"/>
            <w:shd w:val="clear" w:color="auto" w:fill="FFFFFF"/>
            <w:vAlign w:val="center"/>
          </w:tcPr>
          <w:p>
            <w:pPr>
              <w:jc w:val="center"/>
            </w:pPr>
            <w:r>
              <w:t>8815.452</w:t>
            </w:r>
          </w:p>
        </w:tc>
        <w:tc>
          <w:tcPr>
            <w:tcW w:w="705" w:type="pct"/>
            <w:shd w:val="clear" w:color="auto" w:fill="FFFFFF"/>
            <w:vAlign w:val="center"/>
          </w:tcPr>
          <w:p>
            <w:pPr>
              <w:jc w:val="center"/>
            </w:pPr>
            <w:r>
              <w:t>598</w:t>
            </w:r>
          </w:p>
        </w:tc>
        <w:tc>
          <w:tcPr>
            <w:tcW w:w="972" w:type="pct"/>
            <w:shd w:val="clear" w:color="auto" w:fill="FFFFFF"/>
            <w:vAlign w:val="center"/>
          </w:tcPr>
          <w:p>
            <w:pPr>
              <w:jc w:val="center"/>
            </w:pPr>
          </w:p>
        </w:tc>
        <w:tc>
          <w:tcPr>
            <w:tcW w:w="705" w:type="pct"/>
            <w:shd w:val="clear" w:color="auto" w:fill="FFFFFF"/>
            <w:vAlign w:val="center"/>
          </w:tcPr>
          <w:p>
            <w:pPr>
              <w:jc w:val="center"/>
            </w:pPr>
          </w:p>
        </w:tc>
        <w:tc>
          <w:tcPr>
            <w:tcW w:w="705" w:type="pct"/>
            <w:shd w:val="clear" w:color="auto" w:fill="FFFFFF"/>
            <w:vAlign w:val="center"/>
          </w:tcPr>
          <w:p>
            <w:pPr>
              <w:jc w:val="center"/>
            </w:pPr>
          </w:p>
        </w:tc>
      </w:tr>
    </w:tbl>
    <w:p>
      <w:pPr>
        <w:autoSpaceDE w:val="0"/>
        <w:autoSpaceDN w:val="0"/>
        <w:adjustRightInd w:val="0"/>
        <w:spacing w:line="480" w:lineRule="auto"/>
        <w:ind w:left="58" w:right="58"/>
        <w:jc w:val="both"/>
      </w:pPr>
    </w:p>
    <w:p>
      <w:pPr>
        <w:autoSpaceDE w:val="0"/>
        <w:autoSpaceDN w:val="0"/>
        <w:adjustRightInd w:val="0"/>
        <w:spacing w:line="480" w:lineRule="auto"/>
        <w:ind w:left="58" w:right="58"/>
        <w:jc w:val="both"/>
      </w:pPr>
      <w:r>
        <w:t>The effect of Economic Empowerment (X</w:t>
      </w:r>
      <w:r>
        <w:rPr>
          <w:vertAlign w:val="subscript"/>
        </w:rPr>
        <w:t>1</w:t>
      </w:r>
      <w:r>
        <w:t>), Political Empowerment (X</w:t>
      </w:r>
      <w:r>
        <w:rPr>
          <w:vertAlign w:val="subscript"/>
        </w:rPr>
        <w:t>2</w:t>
      </w:r>
      <w:r>
        <w:t>), Technical Empowerment (X</w:t>
      </w:r>
      <w:r>
        <w:rPr>
          <w:vertAlign w:val="subscript"/>
        </w:rPr>
        <w:t>3</w:t>
      </w:r>
      <w:r>
        <w:t>), and Social Empowerment (X</w:t>
      </w:r>
      <w:r>
        <w:rPr>
          <w:vertAlign w:val="subscript"/>
        </w:rPr>
        <w:t>4</w:t>
      </w:r>
      <w:r>
        <w:t>), was found to be significant (F=1153.528,p&lt;0.01) on Success Rate at a 0.01 level of significance. Hence, the null hypothesis is rejected and the alternative hypothesis is accepted. It means that Economic Empowerment (X</w:t>
      </w:r>
      <w:r>
        <w:rPr>
          <w:vertAlign w:val="subscript"/>
        </w:rPr>
        <w:t>1</w:t>
      </w:r>
      <w:r>
        <w:t>), Political Empowerment (X</w:t>
      </w:r>
      <w:r>
        <w:rPr>
          <w:vertAlign w:val="subscript"/>
        </w:rPr>
        <w:t>2</w:t>
      </w:r>
      <w:r>
        <w:t>), Technical Empowerment (X</w:t>
      </w:r>
      <w:r>
        <w:rPr>
          <w:vertAlign w:val="subscript"/>
        </w:rPr>
        <w:t>3</w:t>
      </w:r>
      <w:r>
        <w:t>), and Social Empowerment (X</w:t>
      </w:r>
      <w:r>
        <w:rPr>
          <w:vertAlign w:val="subscript"/>
        </w:rPr>
        <w:t>4</w:t>
      </w:r>
      <w:r>
        <w:t>), are the significant Predictors of Success Rate at the women respondents in the selected segment of Microfinance Institutions in the study area.</w:t>
      </w:r>
    </w:p>
    <w:p>
      <w:pPr>
        <w:autoSpaceDE w:val="0"/>
        <w:autoSpaceDN w:val="0"/>
        <w:adjustRightInd w:val="0"/>
        <w:spacing w:line="360" w:lineRule="auto"/>
        <w:rPr>
          <w:b/>
        </w:rPr>
      </w:pPr>
      <w:r>
        <w:rPr>
          <w:b/>
          <w:iCs/>
        </w:rPr>
        <w:t xml:space="preserve">     Table 2: Summaries of Regression Coefficients for </w:t>
      </w:r>
      <w:r>
        <w:rPr>
          <w:b/>
        </w:rPr>
        <w:t>Women Empowerment</w:t>
      </w:r>
    </w:p>
    <w:tbl>
      <w:tblPr>
        <w:jc w:val="center"/>
        <w:tblW w:w="54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3051"/>
        <w:gridCol w:w="1620"/>
        <w:gridCol w:w="1536"/>
        <w:gridCol w:w="1707"/>
        <w:gridCol w:w="1354"/>
        <w:gridCol w:w="944"/>
      </w:tblGrid>
      <w:tr>
        <w:trPr>
          <w:cantSplit/>
        </w:trPr>
        <w:tc>
          <w:tcPr>
            <w:tcW w:w="1494" w:type="pct"/>
            <w:vMerge w:val="restart"/>
            <w:shd w:val="clear" w:color="auto" w:fill="BFBFBF"/>
            <w:vAlign w:val="center"/>
          </w:tcPr>
          <w:p>
            <w:pPr>
              <w:autoSpaceDE w:val="0"/>
              <w:autoSpaceDN w:val="0"/>
              <w:adjustRightInd w:val="0"/>
              <w:ind w:left="60" w:right="60"/>
              <w:jc w:val="center"/>
              <w:rPr>
                <w:b/>
              </w:rPr>
            </w:pPr>
            <w:r>
              <w:rPr>
                <w:b/>
              </w:rPr>
              <w:t>Model</w:t>
            </w:r>
          </w:p>
        </w:tc>
        <w:tc>
          <w:tcPr>
            <w:tcW w:w="1545" w:type="pct"/>
            <w:gridSpan w:val="2"/>
            <w:shd w:val="clear" w:color="auto" w:fill="BFBFBF"/>
            <w:vAlign w:val="center"/>
          </w:tcPr>
          <w:p>
            <w:pPr>
              <w:autoSpaceDE w:val="0"/>
              <w:autoSpaceDN w:val="0"/>
              <w:adjustRightInd w:val="0"/>
              <w:ind w:left="60" w:right="60"/>
              <w:jc w:val="center"/>
              <w:rPr>
                <w:b/>
              </w:rPr>
            </w:pPr>
            <w:r>
              <w:rPr>
                <w:b/>
              </w:rPr>
              <w:t>Unstandardized Coefficients</w:t>
            </w:r>
          </w:p>
        </w:tc>
        <w:tc>
          <w:tcPr>
            <w:tcW w:w="836" w:type="pct"/>
            <w:shd w:val="clear" w:color="auto" w:fill="BFBFBF"/>
            <w:vAlign w:val="center"/>
          </w:tcPr>
          <w:p>
            <w:pPr>
              <w:autoSpaceDE w:val="0"/>
              <w:autoSpaceDN w:val="0"/>
              <w:adjustRightInd w:val="0"/>
              <w:ind w:left="60" w:right="60"/>
              <w:jc w:val="center"/>
              <w:rPr>
                <w:b/>
              </w:rPr>
            </w:pPr>
            <w:r>
              <w:rPr>
                <w:b/>
              </w:rPr>
              <w:t>Standardized Coefficients</w:t>
            </w:r>
          </w:p>
        </w:tc>
        <w:tc>
          <w:tcPr>
            <w:tcW w:w="663" w:type="pct"/>
            <w:vMerge w:val="restart"/>
            <w:shd w:val="clear" w:color="auto" w:fill="BFBFBF"/>
            <w:vAlign w:val="center"/>
          </w:tcPr>
          <w:p>
            <w:pPr>
              <w:autoSpaceDE w:val="0"/>
              <w:autoSpaceDN w:val="0"/>
              <w:adjustRightInd w:val="0"/>
              <w:ind w:left="60" w:right="60"/>
              <w:jc w:val="center"/>
              <w:rPr>
                <w:b/>
              </w:rPr>
            </w:pPr>
            <w:r>
              <w:rPr>
                <w:b/>
              </w:rPr>
              <w:t>T</w:t>
            </w:r>
          </w:p>
        </w:tc>
        <w:tc>
          <w:tcPr>
            <w:tcW w:w="462" w:type="pct"/>
            <w:vMerge w:val="restart"/>
            <w:shd w:val="clear" w:color="auto" w:fill="BFBFBF"/>
            <w:vAlign w:val="center"/>
          </w:tcPr>
          <w:p>
            <w:pPr>
              <w:autoSpaceDE w:val="0"/>
              <w:autoSpaceDN w:val="0"/>
              <w:adjustRightInd w:val="0"/>
              <w:ind w:left="60" w:right="60"/>
              <w:jc w:val="center"/>
              <w:rPr>
                <w:b/>
              </w:rPr>
            </w:pPr>
            <w:r>
              <w:rPr>
                <w:b/>
              </w:rPr>
              <w:t>Sig.</w:t>
            </w:r>
          </w:p>
        </w:tc>
      </w:tr>
      <w:tr>
        <w:trPr>
          <w:cantSplit/>
        </w:trPr>
        <w:tc>
          <w:tcPr>
            <w:tcW w:w="1494" w:type="pct"/>
            <w:vMerge/>
            <w:shd w:val="clear" w:color="auto" w:fill="FFFFFF"/>
            <w:vAlign w:val="center"/>
          </w:tcPr>
          <w:p/>
        </w:tc>
        <w:tc>
          <w:tcPr>
            <w:tcW w:w="793" w:type="pct"/>
            <w:shd w:val="clear" w:color="auto" w:fill="BFBFBF"/>
            <w:vAlign w:val="center"/>
          </w:tcPr>
          <w:p>
            <w:pPr>
              <w:autoSpaceDE w:val="0"/>
              <w:autoSpaceDN w:val="0"/>
              <w:adjustRightInd w:val="0"/>
              <w:ind w:left="60" w:right="60"/>
              <w:jc w:val="center"/>
              <w:rPr>
                <w:b/>
              </w:rPr>
            </w:pPr>
            <w:r>
              <w:rPr>
                <w:b/>
              </w:rPr>
              <w:t>B</w:t>
            </w:r>
          </w:p>
        </w:tc>
        <w:tc>
          <w:tcPr>
            <w:tcW w:w="752" w:type="pct"/>
            <w:shd w:val="clear" w:color="auto" w:fill="BFBFBF"/>
            <w:vAlign w:val="center"/>
          </w:tcPr>
          <w:p>
            <w:pPr>
              <w:autoSpaceDE w:val="0"/>
              <w:autoSpaceDN w:val="0"/>
              <w:adjustRightInd w:val="0"/>
              <w:ind w:left="60" w:right="60"/>
              <w:jc w:val="center"/>
              <w:rPr>
                <w:b/>
              </w:rPr>
            </w:pPr>
            <w:r>
              <w:rPr>
                <w:b/>
              </w:rPr>
              <w:t>Std. Error</w:t>
            </w:r>
          </w:p>
        </w:tc>
        <w:tc>
          <w:tcPr>
            <w:tcW w:w="836" w:type="pct"/>
            <w:shd w:val="clear" w:color="auto" w:fill="BFBFBF"/>
            <w:vAlign w:val="center"/>
          </w:tcPr>
          <w:p>
            <w:pPr>
              <w:autoSpaceDE w:val="0"/>
              <w:autoSpaceDN w:val="0"/>
              <w:adjustRightInd w:val="0"/>
              <w:ind w:left="60" w:right="60"/>
              <w:jc w:val="center"/>
              <w:rPr>
                <w:b/>
              </w:rPr>
            </w:pPr>
            <w:r>
              <w:rPr>
                <w:b/>
              </w:rPr>
              <w:t>Beta</w:t>
            </w:r>
          </w:p>
        </w:tc>
        <w:tc>
          <w:tcPr>
            <w:tcW w:w="663" w:type="pct"/>
            <w:vMerge/>
            <w:shd w:val="clear" w:color="auto" w:fill="FFFFFF"/>
            <w:vAlign w:val="center"/>
          </w:tcPr>
          <w:p/>
        </w:tc>
        <w:tc>
          <w:tcPr>
            <w:tcW w:w="462" w:type="pct"/>
            <w:vMerge/>
            <w:shd w:val="clear" w:color="auto" w:fill="FFFFFF"/>
            <w:vAlign w:val="center"/>
          </w:tcPr>
          <w:p/>
        </w:tc>
      </w:tr>
      <w:tr>
        <w:trPr>
          <w:cantSplit/>
        </w:trPr>
        <w:tc>
          <w:tcPr>
            <w:tcW w:w="1494" w:type="pct"/>
            <w:shd w:val="clear" w:color="auto" w:fill="FFFFFF"/>
          </w:tcPr>
          <w:p>
            <w:r>
              <w:t>(Constant)</w:t>
            </w:r>
          </w:p>
        </w:tc>
        <w:tc>
          <w:tcPr>
            <w:tcW w:w="793" w:type="pct"/>
            <w:shd w:val="clear" w:color="auto" w:fill="FFFFFF"/>
            <w:vAlign w:val="center"/>
          </w:tcPr>
          <w:p>
            <w:pPr>
              <w:jc w:val="center"/>
            </w:pPr>
            <w:r>
              <w:t>-1.583</w:t>
            </w:r>
          </w:p>
        </w:tc>
        <w:tc>
          <w:tcPr>
            <w:tcW w:w="752" w:type="pct"/>
            <w:shd w:val="clear" w:color="auto" w:fill="FFFFFF"/>
            <w:vAlign w:val="center"/>
          </w:tcPr>
          <w:p>
            <w:pPr>
              <w:jc w:val="center"/>
            </w:pPr>
            <w:r>
              <w:t>.260</w:t>
            </w:r>
          </w:p>
        </w:tc>
        <w:tc>
          <w:tcPr>
            <w:tcW w:w="836" w:type="pct"/>
            <w:shd w:val="clear" w:color="auto" w:fill="FFFFFF"/>
            <w:vAlign w:val="center"/>
          </w:tcPr>
          <w:p>
            <w:pPr>
              <w:jc w:val="center"/>
            </w:pPr>
          </w:p>
        </w:tc>
        <w:tc>
          <w:tcPr>
            <w:tcW w:w="663" w:type="pct"/>
            <w:shd w:val="clear" w:color="auto" w:fill="FFFFFF"/>
            <w:vAlign w:val="center"/>
          </w:tcPr>
          <w:p>
            <w:pPr>
              <w:jc w:val="center"/>
            </w:pPr>
            <w:r>
              <w:t>-5.260</w:t>
            </w:r>
          </w:p>
        </w:tc>
        <w:tc>
          <w:tcPr>
            <w:tcW w:w="462" w:type="pct"/>
            <w:shd w:val="clear" w:color="auto" w:fill="FFFFFF"/>
            <w:vAlign w:val="center"/>
          </w:tcPr>
          <w:p>
            <w:pPr>
              <w:jc w:val="center"/>
            </w:pPr>
            <w:r>
              <w:t>.000</w:t>
            </w:r>
          </w:p>
        </w:tc>
      </w:tr>
      <w:tr>
        <w:trPr>
          <w:cantSplit/>
        </w:trPr>
        <w:tc>
          <w:tcPr>
            <w:tcW w:w="1494" w:type="pct"/>
            <w:shd w:val="clear" w:color="auto" w:fill="FFFFFF"/>
          </w:tcPr>
          <w:p>
            <w:r>
              <w:t>Economic Empowerment</w:t>
            </w:r>
          </w:p>
        </w:tc>
        <w:tc>
          <w:tcPr>
            <w:tcW w:w="793" w:type="pct"/>
            <w:shd w:val="clear" w:color="auto" w:fill="FFFFFF"/>
            <w:vAlign w:val="center"/>
          </w:tcPr>
          <w:p>
            <w:pPr>
              <w:jc w:val="center"/>
            </w:pPr>
            <w:r>
              <w:t>.454</w:t>
            </w:r>
          </w:p>
        </w:tc>
        <w:tc>
          <w:tcPr>
            <w:tcW w:w="752" w:type="pct"/>
            <w:shd w:val="clear" w:color="auto" w:fill="FFFFFF"/>
            <w:vAlign w:val="center"/>
          </w:tcPr>
          <w:p>
            <w:pPr>
              <w:jc w:val="center"/>
            </w:pPr>
            <w:r>
              <w:t>.021</w:t>
            </w:r>
          </w:p>
        </w:tc>
        <w:tc>
          <w:tcPr>
            <w:tcW w:w="836" w:type="pct"/>
            <w:shd w:val="clear" w:color="auto" w:fill="FFFFFF"/>
            <w:vAlign w:val="center"/>
          </w:tcPr>
          <w:p>
            <w:pPr>
              <w:jc w:val="center"/>
            </w:pPr>
            <w:r>
              <w:t>.422</w:t>
            </w:r>
          </w:p>
        </w:tc>
        <w:tc>
          <w:tcPr>
            <w:tcW w:w="663" w:type="pct"/>
            <w:shd w:val="clear" w:color="auto" w:fill="FFFFFF"/>
            <w:vAlign w:val="center"/>
          </w:tcPr>
          <w:p>
            <w:pPr>
              <w:jc w:val="center"/>
            </w:pPr>
            <w:r>
              <w:t>19.822</w:t>
            </w:r>
          </w:p>
        </w:tc>
        <w:tc>
          <w:tcPr>
            <w:tcW w:w="462" w:type="pct"/>
            <w:shd w:val="clear" w:color="auto" w:fill="FFFFFF"/>
            <w:vAlign w:val="center"/>
          </w:tcPr>
          <w:p>
            <w:pPr>
              <w:jc w:val="center"/>
            </w:pPr>
            <w:r>
              <w:t>.000</w:t>
            </w:r>
          </w:p>
        </w:tc>
      </w:tr>
      <w:tr>
        <w:trPr>
          <w:cantSplit/>
        </w:trPr>
        <w:tc>
          <w:tcPr>
            <w:tcW w:w="1494" w:type="pct"/>
            <w:shd w:val="clear" w:color="auto" w:fill="FFFFFF"/>
          </w:tcPr>
          <w:p>
            <w:r>
              <w:t>Political Empowerment</w:t>
            </w:r>
          </w:p>
        </w:tc>
        <w:tc>
          <w:tcPr>
            <w:tcW w:w="793" w:type="pct"/>
            <w:shd w:val="clear" w:color="auto" w:fill="FFFFFF"/>
            <w:vAlign w:val="center"/>
          </w:tcPr>
          <w:p>
            <w:pPr>
              <w:jc w:val="center"/>
            </w:pPr>
            <w:r>
              <w:t>.056</w:t>
            </w:r>
          </w:p>
        </w:tc>
        <w:tc>
          <w:tcPr>
            <w:tcW w:w="752" w:type="pct"/>
            <w:shd w:val="clear" w:color="auto" w:fill="FFFFFF"/>
            <w:vAlign w:val="center"/>
          </w:tcPr>
          <w:p>
            <w:pPr>
              <w:jc w:val="center"/>
            </w:pPr>
            <w:r>
              <w:t>.024</w:t>
            </w:r>
          </w:p>
        </w:tc>
        <w:tc>
          <w:tcPr>
            <w:tcW w:w="836" w:type="pct"/>
            <w:shd w:val="clear" w:color="auto" w:fill="FFFFFF"/>
            <w:vAlign w:val="center"/>
          </w:tcPr>
          <w:p>
            <w:pPr>
              <w:jc w:val="center"/>
            </w:pPr>
            <w:r>
              <w:t>.048</w:t>
            </w:r>
          </w:p>
        </w:tc>
        <w:tc>
          <w:tcPr>
            <w:tcW w:w="663" w:type="pct"/>
            <w:shd w:val="clear" w:color="auto" w:fill="FFFFFF"/>
            <w:vAlign w:val="center"/>
          </w:tcPr>
          <w:p>
            <w:pPr>
              <w:jc w:val="center"/>
            </w:pPr>
            <w:r>
              <w:t>2.295</w:t>
            </w:r>
          </w:p>
        </w:tc>
        <w:tc>
          <w:tcPr>
            <w:tcW w:w="462" w:type="pct"/>
            <w:shd w:val="clear" w:color="auto" w:fill="FFFFFF"/>
            <w:vAlign w:val="center"/>
          </w:tcPr>
          <w:p>
            <w:pPr>
              <w:jc w:val="center"/>
            </w:pPr>
            <w:r>
              <w:t>.022</w:t>
            </w:r>
          </w:p>
        </w:tc>
      </w:tr>
      <w:tr>
        <w:trPr>
          <w:cantSplit/>
        </w:trPr>
        <w:tc>
          <w:tcPr>
            <w:tcW w:w="1494" w:type="pct"/>
            <w:shd w:val="clear" w:color="auto" w:fill="FFFFFF"/>
          </w:tcPr>
          <w:p>
            <w:r>
              <w:t>Technical Empowerment</w:t>
            </w:r>
          </w:p>
        </w:tc>
        <w:tc>
          <w:tcPr>
            <w:tcW w:w="793" w:type="pct"/>
            <w:shd w:val="clear" w:color="auto" w:fill="FFFFFF"/>
            <w:vAlign w:val="center"/>
          </w:tcPr>
          <w:p>
            <w:pPr>
              <w:jc w:val="center"/>
            </w:pPr>
            <w:r>
              <w:t>.127</w:t>
            </w:r>
          </w:p>
        </w:tc>
        <w:tc>
          <w:tcPr>
            <w:tcW w:w="752" w:type="pct"/>
            <w:shd w:val="clear" w:color="auto" w:fill="FFFFFF"/>
            <w:vAlign w:val="center"/>
          </w:tcPr>
          <w:p>
            <w:pPr>
              <w:jc w:val="center"/>
            </w:pPr>
            <w:r>
              <w:t>.026</w:t>
            </w:r>
          </w:p>
        </w:tc>
        <w:tc>
          <w:tcPr>
            <w:tcW w:w="836" w:type="pct"/>
            <w:shd w:val="clear" w:color="auto" w:fill="FFFFFF"/>
            <w:vAlign w:val="center"/>
          </w:tcPr>
          <w:p>
            <w:pPr>
              <w:jc w:val="center"/>
            </w:pPr>
            <w:r>
              <w:t>.115</w:t>
            </w:r>
          </w:p>
        </w:tc>
        <w:tc>
          <w:tcPr>
            <w:tcW w:w="663" w:type="pct"/>
            <w:shd w:val="clear" w:color="auto" w:fill="FFFFFF"/>
            <w:vAlign w:val="center"/>
          </w:tcPr>
          <w:p>
            <w:pPr>
              <w:jc w:val="center"/>
            </w:pPr>
            <w:r>
              <w:t>4.935</w:t>
            </w:r>
          </w:p>
        </w:tc>
        <w:tc>
          <w:tcPr>
            <w:tcW w:w="462" w:type="pct"/>
            <w:shd w:val="clear" w:color="auto" w:fill="FFFFFF"/>
            <w:vAlign w:val="center"/>
          </w:tcPr>
          <w:p>
            <w:pPr>
              <w:jc w:val="center"/>
            </w:pPr>
            <w:r>
              <w:t>.000</w:t>
            </w:r>
          </w:p>
        </w:tc>
      </w:tr>
      <w:tr>
        <w:trPr>
          <w:cantSplit/>
        </w:trPr>
        <w:tc>
          <w:tcPr>
            <w:tcW w:w="1494" w:type="pct"/>
            <w:shd w:val="clear" w:color="auto" w:fill="FFFFFF"/>
          </w:tcPr>
          <w:p>
            <w:r>
              <w:t>Social Empowerment</w:t>
            </w:r>
          </w:p>
        </w:tc>
        <w:tc>
          <w:tcPr>
            <w:tcW w:w="793" w:type="pct"/>
            <w:shd w:val="clear" w:color="auto" w:fill="FFFFFF"/>
            <w:vAlign w:val="center"/>
          </w:tcPr>
          <w:p>
            <w:pPr>
              <w:jc w:val="center"/>
            </w:pPr>
            <w:r>
              <w:t>.372</w:t>
            </w:r>
          </w:p>
        </w:tc>
        <w:tc>
          <w:tcPr>
            <w:tcW w:w="752" w:type="pct"/>
            <w:shd w:val="clear" w:color="auto" w:fill="FFFFFF"/>
            <w:vAlign w:val="center"/>
          </w:tcPr>
          <w:p>
            <w:pPr>
              <w:jc w:val="center"/>
            </w:pPr>
            <w:r>
              <w:t>.035</w:t>
            </w:r>
          </w:p>
        </w:tc>
        <w:tc>
          <w:tcPr>
            <w:tcW w:w="836" w:type="pct"/>
            <w:shd w:val="clear" w:color="auto" w:fill="FFFFFF"/>
            <w:vAlign w:val="center"/>
          </w:tcPr>
          <w:p>
            <w:pPr>
              <w:jc w:val="center"/>
            </w:pPr>
            <w:r>
              <w:t>.269</w:t>
            </w:r>
          </w:p>
        </w:tc>
        <w:tc>
          <w:tcPr>
            <w:tcW w:w="663" w:type="pct"/>
            <w:shd w:val="clear" w:color="auto" w:fill="FFFFFF"/>
            <w:vAlign w:val="center"/>
          </w:tcPr>
          <w:p>
            <w:pPr>
              <w:jc w:val="center"/>
            </w:pPr>
            <w:r>
              <w:t>10.505</w:t>
            </w:r>
          </w:p>
        </w:tc>
        <w:tc>
          <w:tcPr>
            <w:tcW w:w="462" w:type="pct"/>
            <w:shd w:val="clear" w:color="auto" w:fill="FFFFFF"/>
            <w:vAlign w:val="center"/>
          </w:tcPr>
          <w:p>
            <w:pPr>
              <w:jc w:val="center"/>
            </w:pPr>
            <w:r>
              <w:t>.000</w:t>
            </w:r>
          </w:p>
        </w:tc>
      </w:tr>
      <w:tr>
        <w:trPr>
          <w:cantSplit/>
        </w:trPr>
        <w:tc>
          <w:tcPr>
            <w:tcW w:w="5000" w:type="pct"/>
            <w:gridSpan w:val="6"/>
            <w:shd w:val="clear" w:color="auto" w:fill="FFFFFF"/>
            <w:vAlign w:val="center"/>
          </w:tcPr>
          <w:p>
            <w:pPr>
              <w:autoSpaceDE w:val="0"/>
              <w:autoSpaceDN w:val="0"/>
              <w:adjustRightInd w:val="0"/>
              <w:spacing w:line="360" w:lineRule="auto"/>
              <w:ind w:left="60" w:right="60"/>
            </w:pPr>
            <w:r>
              <w:t>Dependent Variable Success Rate</w:t>
            </w:r>
          </w:p>
        </w:tc>
      </w:tr>
    </w:tbl>
    <w:p>
      <w:pPr>
        <w:pStyle w:val="16"/>
        <w:tabs>
          <w:tab w:val="left" w:pos="3210"/>
        </w:tabs>
        <w:spacing w:after="0"/>
        <w:rPr>
          <w:rFonts w:ascii="Times New Roman" w:hAnsi="Times New Roman"/>
          <w:sz w:val="24"/>
          <w:szCs w:val="24"/>
        </w:rPr>
      </w:pPr>
    </w:p>
    <w:p>
      <w:pPr>
        <w:spacing w:line="480" w:lineRule="auto"/>
        <w:jc w:val="both"/>
      </w:pPr>
      <w:r>
        <w:t xml:space="preserve"> Results of the above table clearly indicated that the effect of Economic Empowerment(X</w:t>
      </w:r>
      <w:r>
        <w:rPr>
          <w:vertAlign w:val="subscript"/>
        </w:rPr>
        <w:t>1</w:t>
      </w:r>
      <w:r>
        <w:t>) was found to be positive and significant on Success Rate (Regression co-efficient= .0.422, t=19.822, p&lt;0.01) at a 0.01 level of significance. Hence, the null hypothesis is rejected and the alternative hypothesis is accepted. It means that Economic Empowerment (X</w:t>
      </w:r>
      <w:r>
        <w:rPr>
          <w:vertAlign w:val="subscript"/>
        </w:rPr>
        <w:t>1</w:t>
      </w:r>
      <w:r>
        <w:t>) is a significant predictor of the Success Rate of women empowerment in the study area.</w:t>
      </w:r>
    </w:p>
    <w:p>
      <w:pPr>
        <w:spacing w:line="480" w:lineRule="auto"/>
        <w:jc w:val="both"/>
      </w:pPr>
      <w:r>
        <w:t xml:space="preserve">            The effect of Political Empowerment (X</w:t>
      </w:r>
      <w:r>
        <w:rPr>
          <w:vertAlign w:val="subscript"/>
        </w:rPr>
        <w:t>2</w:t>
      </w:r>
      <w:r>
        <w:t>) was found to be positive and significant on Success Rate (Regression co-efficient= 0.115, t = 2.295, p&lt;0.01) at a 0.01 level of significance. Hence, the null hypothesis is rejected and the alternative hypothesis is accepted. It means that Political Empowerment (X</w:t>
      </w:r>
      <w:r>
        <w:rPr>
          <w:vertAlign w:val="subscript"/>
        </w:rPr>
        <w:t>2</w:t>
      </w:r>
      <w:r>
        <w:t>) is a significant predictor of Success Rate for Women Empowerment</w:t>
      </w:r>
    </w:p>
    <w:p>
      <w:pPr>
        <w:spacing w:line="480" w:lineRule="auto"/>
        <w:jc w:val="both"/>
      </w:pPr>
      <w:r>
        <w:t xml:space="preserve">              The effect of Technical Empowerment (X</w:t>
      </w:r>
      <w:r>
        <w:rPr>
          <w:vertAlign w:val="subscript"/>
        </w:rPr>
        <w:t>3</w:t>
      </w:r>
      <w:r>
        <w:t>) was found to be positive and significant on Success Rate (Regression co-efficient= .307, t=4.935, p&lt;0.01) at 0.01 level of significance. Hence, the null hypothesis is rejected and the alternative hypothesis is accepted. It means that the Technical Empowerment (X</w:t>
      </w:r>
      <w:r>
        <w:rPr>
          <w:vertAlign w:val="subscript"/>
        </w:rPr>
        <w:t>3</w:t>
      </w:r>
      <w:r>
        <w:t>) is a significant predictor of the Success Rate of Women Empowerment.</w:t>
      </w:r>
    </w:p>
    <w:p>
      <w:pPr>
        <w:spacing w:line="480" w:lineRule="auto"/>
        <w:jc w:val="both"/>
      </w:pPr>
      <w:r>
        <w:t xml:space="preserve">            The effect of Career Planning and Development (X</w:t>
      </w:r>
      <w:r>
        <w:rPr>
          <w:vertAlign w:val="subscript"/>
        </w:rPr>
        <w:t>4</w:t>
      </w:r>
      <w:r>
        <w:t>) was found to be positive and significant on employee engagement at the managerial level (Regression co-efficient=0.269, t=10.505, p&lt;0.01) at a 0.01 level of significance. Hence, the null hypothesis is rejected and the alternative hypothesis is accepted. It means that Social Empowerment (X</w:t>
      </w:r>
      <w:r>
        <w:rPr>
          <w:vertAlign w:val="subscript"/>
        </w:rPr>
        <w:t>4</w:t>
      </w:r>
      <w:r>
        <w:t>) is a significant predictor of Success Rate for Women Empowerment.</w:t>
      </w:r>
    </w:p>
    <w:p>
      <w:pPr>
        <w:spacing w:line="480" w:lineRule="auto"/>
        <w:jc w:val="both"/>
      </w:pPr>
      <w:r>
        <w:t>The relative contribution of Economic Empowerment, Political Empowerment, Technical Empowerment, and Social Empowerment for the Success Rate of Women Empowerment is also presented in the following table.</w:t>
      </w:r>
    </w:p>
    <w:p>
      <w:pPr>
        <w:jc w:val="center"/>
        <w:rPr>
          <w:b/>
          <w:sz w:val="23"/>
          <w:szCs w:val="23"/>
        </w:rPr>
      </w:pPr>
      <w:r>
        <w:rPr>
          <w:b/>
          <w:sz w:val="23"/>
          <w:szCs w:val="23"/>
        </w:rPr>
        <w:t xml:space="preserve">Table 3: Relative contributions of predictor variables on the criterion variable (Success Rate) </w:t>
      </w:r>
    </w:p>
    <w:tbl>
      <w:tblPr>
        <w:jc w:val="cente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167"/>
        <w:gridCol w:w="1032"/>
        <w:gridCol w:w="1034"/>
        <w:gridCol w:w="1377"/>
        <w:gridCol w:w="2354"/>
      </w:tblGrid>
      <w:tr>
        <w:tc>
          <w:tcPr>
            <w:tcW w:w="2091" w:type="pct"/>
            <w:shd w:val="clear" w:color="auto" w:fill="BFBFBF"/>
            <w:vAlign w:val="center"/>
          </w:tcPr>
          <w:p>
            <w:pPr>
              <w:spacing w:after="120"/>
              <w:jc w:val="center"/>
              <w:rPr>
                <w:b/>
              </w:rPr>
            </w:pPr>
            <w:r>
              <w:rPr>
                <w:b/>
              </w:rPr>
              <w:t>Independent Variable</w:t>
            </w:r>
          </w:p>
        </w:tc>
        <w:tc>
          <w:tcPr>
            <w:tcW w:w="518" w:type="pct"/>
            <w:shd w:val="clear" w:color="auto" w:fill="BFBFBF"/>
            <w:vAlign w:val="center"/>
          </w:tcPr>
          <w:p>
            <w:pPr>
              <w:spacing w:after="120"/>
              <w:jc w:val="center"/>
              <w:rPr>
                <w:b/>
              </w:rPr>
            </w:pPr>
            <w:r>
              <w:rPr>
                <w:b/>
              </w:rPr>
              <w:t>Β</w:t>
            </w:r>
          </w:p>
        </w:tc>
        <w:tc>
          <w:tcPr>
            <w:tcW w:w="519" w:type="pct"/>
            <w:shd w:val="clear" w:color="auto" w:fill="BFBFBF"/>
            <w:vAlign w:val="center"/>
          </w:tcPr>
          <w:p>
            <w:pPr>
              <w:spacing w:after="120"/>
              <w:jc w:val="center"/>
              <w:rPr>
                <w:b/>
              </w:rPr>
            </w:pPr>
            <w:r>
              <w:rPr>
                <w:b/>
              </w:rPr>
              <w:t>r</w:t>
            </w:r>
          </w:p>
        </w:tc>
        <w:tc>
          <w:tcPr>
            <w:tcW w:w="691" w:type="pct"/>
            <w:shd w:val="clear" w:color="auto" w:fill="BFBFBF"/>
            <w:vAlign w:val="center"/>
          </w:tcPr>
          <w:p>
            <w:pPr>
              <w:spacing w:after="120"/>
              <w:jc w:val="center"/>
              <w:rPr>
                <w:b/>
              </w:rPr>
            </w:pPr>
            <w:r>
              <w:rPr>
                <w:b/>
              </w:rPr>
              <w:t>β x r</w:t>
            </w:r>
          </w:p>
        </w:tc>
        <w:tc>
          <w:tcPr>
            <w:tcW w:w="1181" w:type="pct"/>
            <w:shd w:val="clear" w:color="auto" w:fill="BFBFBF"/>
            <w:vAlign w:val="center"/>
          </w:tcPr>
          <w:p>
            <w:pPr>
              <w:spacing w:after="120"/>
              <w:jc w:val="center"/>
              <w:rPr>
                <w:b/>
              </w:rPr>
            </w:pPr>
            <w:r>
              <w:rPr>
                <w:b/>
              </w:rPr>
              <w:t>% of contribution</w:t>
            </w:r>
          </w:p>
        </w:tc>
      </w:tr>
      <w:tr>
        <w:tc>
          <w:tcPr>
            <w:tcW w:w="2091" w:type="pct"/>
          </w:tcPr>
          <w:p>
            <w:r>
              <w:t>Economic Empowerment</w:t>
            </w:r>
          </w:p>
        </w:tc>
        <w:tc>
          <w:tcPr>
            <w:tcW w:w="518" w:type="pct"/>
            <w:vAlign w:val="center"/>
          </w:tcPr>
          <w:p>
            <w:pPr>
              <w:jc w:val="center"/>
            </w:pPr>
            <w:r>
              <w:t>.422</w:t>
            </w:r>
          </w:p>
        </w:tc>
        <w:tc>
          <w:tcPr>
            <w:tcW w:w="519" w:type="pct"/>
            <w:vAlign w:val="center"/>
          </w:tcPr>
          <w:p>
            <w:pPr>
              <w:spacing w:after="120"/>
              <w:jc w:val="center"/>
            </w:pPr>
            <w:r>
              <w:t>0.951</w:t>
            </w:r>
          </w:p>
        </w:tc>
        <w:tc>
          <w:tcPr>
            <w:tcW w:w="691" w:type="pct"/>
            <w:vAlign w:val="center"/>
          </w:tcPr>
          <w:p>
            <w:pPr>
              <w:spacing w:after="120"/>
              <w:jc w:val="center"/>
            </w:pPr>
            <w:r>
              <w:t>0.401322</w:t>
            </w:r>
          </w:p>
        </w:tc>
        <w:tc>
          <w:tcPr>
            <w:tcW w:w="1181" w:type="pct"/>
            <w:vAlign w:val="center"/>
          </w:tcPr>
          <w:p>
            <w:pPr>
              <w:spacing w:after="120"/>
              <w:jc w:val="center"/>
            </w:pPr>
            <w:r>
              <w:t>40.1322</w:t>
            </w:r>
          </w:p>
        </w:tc>
      </w:tr>
      <w:tr>
        <w:tc>
          <w:tcPr>
            <w:tcW w:w="2091" w:type="pct"/>
          </w:tcPr>
          <w:p>
            <w:r>
              <w:t>Political Empowerment</w:t>
            </w:r>
          </w:p>
        </w:tc>
        <w:tc>
          <w:tcPr>
            <w:tcW w:w="518" w:type="pct"/>
            <w:vAlign w:val="center"/>
          </w:tcPr>
          <w:p>
            <w:pPr>
              <w:jc w:val="center"/>
            </w:pPr>
            <w:r>
              <w:t>.048</w:t>
            </w:r>
          </w:p>
        </w:tc>
        <w:tc>
          <w:tcPr>
            <w:tcW w:w="519" w:type="pct"/>
            <w:vAlign w:val="center"/>
          </w:tcPr>
          <w:p>
            <w:pPr>
              <w:spacing w:after="120"/>
              <w:jc w:val="center"/>
            </w:pPr>
            <w:r>
              <w:t>0.531</w:t>
            </w:r>
          </w:p>
        </w:tc>
        <w:tc>
          <w:tcPr>
            <w:tcW w:w="691" w:type="pct"/>
            <w:vAlign w:val="center"/>
          </w:tcPr>
          <w:p>
            <w:pPr>
              <w:spacing w:after="120"/>
              <w:jc w:val="center"/>
            </w:pPr>
            <w:r>
              <w:t>0.025488</w:t>
            </w:r>
          </w:p>
        </w:tc>
        <w:tc>
          <w:tcPr>
            <w:tcW w:w="1181" w:type="pct"/>
            <w:vAlign w:val="center"/>
          </w:tcPr>
          <w:p>
            <w:pPr>
              <w:spacing w:after="120"/>
              <w:jc w:val="center"/>
            </w:pPr>
            <w:r>
              <w:t>2.5488</w:t>
            </w:r>
          </w:p>
        </w:tc>
      </w:tr>
      <w:tr>
        <w:tc>
          <w:tcPr>
            <w:tcW w:w="2091" w:type="pct"/>
          </w:tcPr>
          <w:p>
            <w:r>
              <w:t>Technical Empowerment</w:t>
            </w:r>
          </w:p>
        </w:tc>
        <w:tc>
          <w:tcPr>
            <w:tcW w:w="518" w:type="pct"/>
            <w:vAlign w:val="center"/>
          </w:tcPr>
          <w:p>
            <w:pPr>
              <w:jc w:val="center"/>
            </w:pPr>
            <w:r>
              <w:t>.115</w:t>
            </w:r>
          </w:p>
        </w:tc>
        <w:tc>
          <w:tcPr>
            <w:tcW w:w="519" w:type="pct"/>
            <w:vAlign w:val="center"/>
          </w:tcPr>
          <w:p>
            <w:pPr>
              <w:spacing w:after="120"/>
              <w:jc w:val="center"/>
            </w:pPr>
            <w:r>
              <w:t>0.832</w:t>
            </w:r>
          </w:p>
        </w:tc>
        <w:tc>
          <w:tcPr>
            <w:tcW w:w="691" w:type="pct"/>
            <w:vAlign w:val="center"/>
          </w:tcPr>
          <w:p>
            <w:pPr>
              <w:spacing w:after="120"/>
              <w:jc w:val="center"/>
            </w:pPr>
            <w:r>
              <w:t>0.09568</w:t>
            </w:r>
          </w:p>
        </w:tc>
        <w:tc>
          <w:tcPr>
            <w:tcW w:w="1181" w:type="pct"/>
            <w:vAlign w:val="center"/>
          </w:tcPr>
          <w:p>
            <w:pPr>
              <w:spacing w:after="120"/>
              <w:jc w:val="center"/>
            </w:pPr>
            <w:r>
              <w:t>9.568</w:t>
            </w:r>
          </w:p>
        </w:tc>
      </w:tr>
      <w:tr>
        <w:tc>
          <w:tcPr>
            <w:tcW w:w="2091" w:type="pct"/>
          </w:tcPr>
          <w:p>
            <w:r>
              <w:t>Social Empowerment</w:t>
            </w:r>
          </w:p>
        </w:tc>
        <w:tc>
          <w:tcPr>
            <w:tcW w:w="518" w:type="pct"/>
            <w:vAlign w:val="center"/>
          </w:tcPr>
          <w:p>
            <w:pPr>
              <w:jc w:val="center"/>
            </w:pPr>
            <w:r>
              <w:t>.269</w:t>
            </w:r>
          </w:p>
        </w:tc>
        <w:tc>
          <w:tcPr>
            <w:tcW w:w="519" w:type="pct"/>
            <w:vAlign w:val="center"/>
          </w:tcPr>
          <w:p>
            <w:pPr>
              <w:spacing w:after="120"/>
              <w:jc w:val="center"/>
            </w:pPr>
            <w:r>
              <w:t>0.796</w:t>
            </w:r>
          </w:p>
        </w:tc>
        <w:tc>
          <w:tcPr>
            <w:tcW w:w="691" w:type="pct"/>
            <w:vAlign w:val="center"/>
          </w:tcPr>
          <w:p>
            <w:pPr>
              <w:spacing w:after="120"/>
              <w:jc w:val="center"/>
            </w:pPr>
            <w:r>
              <w:t>0.214</w:t>
            </w:r>
          </w:p>
        </w:tc>
        <w:tc>
          <w:tcPr>
            <w:tcW w:w="1181" w:type="pct"/>
            <w:vAlign w:val="center"/>
          </w:tcPr>
          <w:p>
            <w:pPr>
              <w:spacing w:after="120"/>
              <w:jc w:val="center"/>
            </w:pPr>
            <w:r>
              <w:t>21.4124</w:t>
            </w:r>
          </w:p>
        </w:tc>
      </w:tr>
      <w:tr>
        <w:tc>
          <w:tcPr>
            <w:tcW w:w="3128" w:type="pct"/>
            <w:gridSpan w:val="3"/>
            <w:vAlign w:val="center"/>
          </w:tcPr>
          <w:p>
            <w:pPr>
              <w:spacing w:after="120"/>
              <w:jc w:val="center"/>
            </w:pPr>
            <w:r>
              <w:t xml:space="preserve">                                                             Total</w:t>
            </w:r>
          </w:p>
        </w:tc>
        <w:tc>
          <w:tcPr>
            <w:tcW w:w="691" w:type="pct"/>
            <w:vAlign w:val="bottom"/>
          </w:tcPr>
          <w:p>
            <w:pPr>
              <w:spacing w:after="120"/>
              <w:jc w:val="center"/>
            </w:pPr>
          </w:p>
        </w:tc>
        <w:tc>
          <w:tcPr>
            <w:tcW w:w="1181" w:type="pct"/>
            <w:vAlign w:val="bottom"/>
          </w:tcPr>
          <w:p>
            <w:pPr>
              <w:spacing w:after="120"/>
              <w:jc w:val="center"/>
            </w:pPr>
            <w:r>
              <w:t>73.66%</w:t>
            </w:r>
          </w:p>
        </w:tc>
      </w:tr>
    </w:tbl>
    <w:p>
      <w:pPr>
        <w:spacing w:line="480" w:lineRule="auto"/>
        <w:jc w:val="both"/>
      </w:pPr>
    </w:p>
    <w:p>
      <w:pPr>
        <w:spacing w:line="480" w:lineRule="auto"/>
        <w:jc w:val="both"/>
      </w:pPr>
      <w:r>
        <w:rPr>
          <w:b/>
        </w:rPr>
        <w:t>Analysis and Interpretation</w:t>
      </w:r>
    </w:p>
    <w:p>
      <w:pPr>
        <w:spacing w:line="480" w:lineRule="auto"/>
        <w:ind w:firstLine="720"/>
        <w:jc w:val="both"/>
      </w:pPr>
      <w:r>
        <w:t>The Total contribution of all the independent variables on Success Rate of Women Empowerment is found to be 73.66% in which, the contribution of Economic Empowerment (X</w:t>
      </w:r>
      <w:r>
        <w:rPr>
          <w:vertAlign w:val="subscript"/>
        </w:rPr>
        <w:t>1</w:t>
      </w:r>
      <w:r>
        <w:t>)=40.1322%, Political Empowerment (X</w:t>
      </w:r>
      <w:r>
        <w:rPr>
          <w:vertAlign w:val="subscript"/>
        </w:rPr>
        <w:t>2</w:t>
      </w:r>
      <w:r>
        <w:t>)=2.5488%, Technical Empowerment (X</w:t>
      </w:r>
      <w:r>
        <w:rPr>
          <w:vertAlign w:val="subscript"/>
        </w:rPr>
        <w:t>3</w:t>
      </w:r>
      <w:r>
        <w:t>)=9.568% and Social Empowerment (X</w:t>
      </w:r>
      <w:r>
        <w:rPr>
          <w:vertAlign w:val="subscript"/>
        </w:rPr>
        <w:t>4</w:t>
      </w:r>
      <w:r>
        <w:t>) is about 21.4124. Therefore, it can be concluded that Economic Empowerment (X</w:t>
      </w:r>
      <w:r>
        <w:rPr>
          <w:vertAlign w:val="subscript"/>
        </w:rPr>
        <w:t>1</w:t>
      </w:r>
      <w:r>
        <w:t>) is the First Contributor/predictor followed by Social Empowerment (X</w:t>
      </w:r>
      <w:r>
        <w:rPr>
          <w:vertAlign w:val="subscript"/>
        </w:rPr>
        <w:t>4</w:t>
      </w:r>
      <w:r>
        <w:t>), Technical Empowerment (X</w:t>
      </w:r>
      <w:r>
        <w:rPr>
          <w:vertAlign w:val="subscript"/>
        </w:rPr>
        <w:t>3</w:t>
      </w:r>
      <w:r>
        <w:t>) and Political Empowerment (X</w:t>
      </w:r>
      <w:r>
        <w:rPr>
          <w:vertAlign w:val="subscript"/>
        </w:rPr>
        <w:t>2</w:t>
      </w:r>
      <w:r>
        <w:t>), and on Success Rate of women in the study area. However, the regression analysis has been done based on the opinion given by the respondent women members of selected segments of Microfinance Institutions in the study area. Hence, based on the percentage contribution of the independent variables on the dependent variable, it can be concluded that the women members are economically and socially empowered by utilizing the facilities provided by the Microfinance Institutions. The regression equation developed for the contribution of predictor variables (Economic Empowerment, Political Empowerment, Technical Empowerment, and Social Empowerment) in predicting the criterion variable (Success Rate) at the employee level is</w:t>
      </w:r>
    </w:p>
    <w:p>
      <w:pPr>
        <w:spacing w:after="80"/>
        <w:jc w:val="both"/>
      </w:pPr>
      <w:r>
        <w:t>Y= 0.454+0. 422(X</w:t>
      </w:r>
      <w:r>
        <w:rPr>
          <w:vertAlign w:val="subscript"/>
        </w:rPr>
        <w:t>1</w:t>
      </w:r>
      <w:r>
        <w:t>) 0.056+0.048(X</w:t>
      </w:r>
      <w:r>
        <w:rPr>
          <w:vertAlign w:val="subscript"/>
        </w:rPr>
        <w:t>2</w:t>
      </w:r>
      <w:r>
        <w:t>) 0.127+0.115(X</w:t>
      </w:r>
      <w:r>
        <w:rPr>
          <w:vertAlign w:val="subscript"/>
        </w:rPr>
        <w:t>3</w:t>
      </w:r>
      <w:r>
        <w:t>) 0.372+0.269(X</w:t>
      </w:r>
      <w:r>
        <w:rPr>
          <w:vertAlign w:val="subscript"/>
        </w:rPr>
        <w:t>4</w:t>
      </w:r>
      <w:r>
        <w:t xml:space="preserve">) </w:t>
      </w:r>
    </w:p>
    <w:p>
      <w:pPr>
        <w:spacing w:after="80"/>
        <w:jc w:val="both"/>
      </w:pPr>
      <w:r>
        <w:t>Y= Success Rate</w:t>
      </w:r>
    </w:p>
    <w:p>
      <w:pPr>
        <w:spacing w:after="80"/>
        <w:jc w:val="both"/>
      </w:pPr>
      <w:r>
        <w:t>X</w:t>
      </w:r>
      <w:r>
        <w:rPr>
          <w:vertAlign w:val="subscript"/>
        </w:rPr>
        <w:t xml:space="preserve">1 = </w:t>
      </w:r>
      <w:r>
        <w:t>Economic Empowerment</w:t>
      </w:r>
    </w:p>
    <w:p>
      <w:pPr>
        <w:spacing w:after="80"/>
        <w:jc w:val="both"/>
      </w:pPr>
      <w:r>
        <w:t>X</w:t>
      </w:r>
      <w:r>
        <w:rPr>
          <w:vertAlign w:val="subscript"/>
        </w:rPr>
        <w:t xml:space="preserve">2 = </w:t>
      </w:r>
      <w:r>
        <w:t>Political Empowerment</w:t>
      </w:r>
    </w:p>
    <w:p>
      <w:pPr>
        <w:spacing w:after="80"/>
        <w:jc w:val="both"/>
      </w:pPr>
      <w:r>
        <w:t>X</w:t>
      </w:r>
      <w:r>
        <w:rPr>
          <w:vertAlign w:val="subscript"/>
        </w:rPr>
        <w:t xml:space="preserve">3 = </w:t>
      </w:r>
      <w:r>
        <w:t>Technical Empowerment</w:t>
      </w:r>
    </w:p>
    <w:p>
      <w:pPr>
        <w:spacing w:after="80"/>
        <w:jc w:val="both"/>
      </w:pPr>
      <w:r>
        <w:t>X</w:t>
      </w:r>
      <w:r>
        <w:rPr>
          <w:vertAlign w:val="subscript"/>
        </w:rPr>
        <w:t xml:space="preserve">4 = </w:t>
      </w:r>
      <w:r>
        <w:t>Social Empowerment</w:t>
      </w:r>
    </w:p>
    <w:p>
      <w:pPr>
        <w:spacing w:after="80"/>
        <w:jc w:val="both"/>
      </w:pPr>
    </w:p>
    <w:p>
      <w:pPr>
        <w:spacing w:line="360" w:lineRule="auto"/>
        <w:jc w:val="both"/>
        <w:rPr>
          <w:b/>
        </w:rPr>
      </w:pPr>
      <w:r>
        <w:rPr>
          <w:b/>
        </w:rPr>
        <w:t xml:space="preserve">14. </w:t>
      </w:r>
      <w:r>
        <w:rPr>
          <w:b/>
          <w:sz w:val="28"/>
          <w:szCs w:val="28"/>
        </w:rPr>
        <w:t>Major Findings of the Study</w:t>
      </w:r>
    </w:p>
    <w:p>
      <w:pPr>
        <w:pStyle w:val="16"/>
        <w:widowControl w:val="0"/>
        <w:numPr>
          <w:ilvl w:val="0"/>
          <w:numId w:val="5"/>
        </w:numPr>
        <w:tabs>
          <w:tab w:val="left" w:pos="900"/>
        </w:tabs>
        <w:autoSpaceDE w:val="0"/>
        <w:autoSpaceDN w:val="0"/>
        <w:spacing w:line="480" w:lineRule="auto"/>
        <w:jc w:val="both"/>
        <w:rPr>
          <w:rFonts w:ascii="Times New Roman" w:cs="Times New Roman" w:hAnsi="Times New Roman"/>
          <w:sz w:val="24"/>
          <w:szCs w:val="24"/>
        </w:rPr>
      </w:pPr>
      <w:r>
        <w:rPr>
          <w:rFonts w:ascii="Times New Roman" w:cs="Times New Roman" w:hAnsi="Times New Roman"/>
          <w:b/>
          <w:sz w:val="24"/>
          <w:szCs w:val="24"/>
        </w:rPr>
        <w:t>Economic Empowerment</w:t>
      </w:r>
      <w:r>
        <w:rPr>
          <w:rFonts w:ascii="Times New Roman" w:cs="Times New Roman" w:hAnsi="Times New Roman"/>
          <w:sz w:val="24"/>
          <w:szCs w:val="24"/>
        </w:rPr>
        <w:t xml:space="preserve"> </w:t>
      </w:r>
    </w:p>
    <w:p>
      <w:pPr>
        <w:pStyle w:val="16"/>
        <w:widowControl w:val="0"/>
        <w:tabs>
          <w:tab w:val="left" w:pos="900"/>
        </w:tabs>
        <w:autoSpaceDE w:val="0"/>
        <w:autoSpaceDN w:val="0"/>
        <w:spacing w:line="480" w:lineRule="auto"/>
        <w:jc w:val="both"/>
        <w:rPr>
          <w:rFonts w:ascii="Times New Roman" w:cs="Times New Roman" w:hAnsi="Times New Roman"/>
          <w:sz w:val="24"/>
          <w:szCs w:val="24"/>
        </w:rPr>
      </w:pPr>
      <w:r>
        <w:rPr>
          <w:rFonts w:ascii="Times New Roman" w:cs="Times New Roman" w:hAnsi="Times New Roman"/>
          <w:sz w:val="24"/>
          <w:szCs w:val="24"/>
        </w:rPr>
        <w:tab/>
        <w:t>Economic Empowerment of women has increased significantly after they joined the SHG. After one becomes a member of the SHG, the poverty level of the member has reduced by participating in microfinance programs. Their savings have also increased if the women have their own source of income. This helps to take up major household decisions like the purchase of household appliances, purchase of two-wheelers, gold, land, constructing a house, children's education, and children's marriage. Women can easily open a bank account under the financial inclusion program organized by SHG. With the bank linkage program, she uses the mobile, latest technology to complete their SHG work. Despite this, 100% of them are not economically empowered, because of reasons such as credit provided seems to be used not for income-generating activities and self-employment. They have not changed their mindset and failed in the usage of many schemes. They are not open up because of their family restrictions, lack of knowledge, and personal problems.</w:t>
      </w:r>
    </w:p>
    <w:p>
      <w:pPr>
        <w:pStyle w:val="16"/>
        <w:widowControl w:val="0"/>
        <w:numPr>
          <w:ilvl w:val="0"/>
          <w:numId w:val="5"/>
        </w:numPr>
        <w:tabs>
          <w:tab w:val="left" w:pos="720"/>
          <w:tab w:val="left" w:pos="810"/>
        </w:tabs>
        <w:autoSpaceDE w:val="0"/>
        <w:autoSpaceDN w:val="0"/>
        <w:spacing w:after="0" w:line="480" w:lineRule="auto"/>
        <w:jc w:val="both"/>
        <w:rPr>
          <w:rFonts w:ascii="Times New Roman" w:cs="Times New Roman" w:hAnsi="Times New Roman"/>
          <w:sz w:val="24"/>
          <w:szCs w:val="24"/>
        </w:rPr>
      </w:pPr>
      <w:r>
        <w:rPr>
          <w:rFonts w:ascii="Times New Roman" w:cs="Times New Roman" w:hAnsi="Times New Roman"/>
          <w:b/>
          <w:sz w:val="24"/>
          <w:szCs w:val="24"/>
        </w:rPr>
        <w:t>Political Empowerment</w:t>
      </w:r>
      <w:r>
        <w:rPr>
          <w:rFonts w:ascii="Times New Roman" w:cs="Times New Roman" w:hAnsi="Times New Roman"/>
          <w:sz w:val="24"/>
          <w:szCs w:val="24"/>
        </w:rPr>
        <w:t xml:space="preserve"> </w:t>
      </w:r>
    </w:p>
    <w:p>
      <w:pPr>
        <w:widowControl w:val="0"/>
        <w:tabs>
          <w:tab w:val="left" w:pos="720"/>
          <w:tab w:val="left" w:pos="810"/>
        </w:tabs>
        <w:autoSpaceDE w:val="0"/>
        <w:autoSpaceDN w:val="0"/>
        <w:spacing w:line="480" w:lineRule="auto"/>
        <w:ind w:left="360"/>
        <w:jc w:val="both"/>
      </w:pPr>
      <w:r>
        <w:tab/>
        <w:t xml:space="preserve">Government has passed legislation to ensure reservation of seats for women in the local administration like panchayats, but SHGs members are less interested in village politics. Only a few members participate in election campaigns and a nomination for election, but for participating in voting. Many of the members do not attend gram Sabah as they are not interested in administration and politics, because of lack of knowledge and hesitation and prefer to be busy in their personal works.  </w:t>
      </w:r>
    </w:p>
    <w:p>
      <w:pPr>
        <w:pStyle w:val="16"/>
        <w:numPr>
          <w:ilvl w:val="0"/>
          <w:numId w:val="5"/>
        </w:numPr>
        <w:tabs>
          <w:tab w:val="left" w:pos="720"/>
          <w:tab w:val="left" w:pos="810"/>
        </w:tabs>
        <w:spacing w:after="160" w:line="480" w:lineRule="auto"/>
        <w:jc w:val="both"/>
        <w:rPr>
          <w:rFonts w:ascii="Times New Roman" w:cs="Times New Roman" w:hAnsi="Times New Roman"/>
          <w:sz w:val="24"/>
          <w:szCs w:val="24"/>
        </w:rPr>
      </w:pPr>
      <w:r>
        <w:rPr>
          <w:rFonts w:ascii="Times New Roman" w:cs="Times New Roman" w:hAnsi="Times New Roman"/>
          <w:b/>
          <w:sz w:val="24"/>
          <w:szCs w:val="24"/>
        </w:rPr>
        <w:t>Technical Empowerment</w:t>
      </w:r>
      <w:r>
        <w:rPr>
          <w:rFonts w:ascii="Times New Roman" w:cs="Times New Roman" w:hAnsi="Times New Roman"/>
          <w:sz w:val="24"/>
          <w:szCs w:val="24"/>
        </w:rPr>
        <w:t xml:space="preserve"> </w:t>
      </w:r>
    </w:p>
    <w:p>
      <w:pPr>
        <w:tabs>
          <w:tab w:val="left" w:pos="720"/>
          <w:tab w:val="left" w:pos="810"/>
        </w:tabs>
        <w:spacing w:after="160" w:line="480" w:lineRule="auto"/>
        <w:ind w:left="270"/>
        <w:jc w:val="both"/>
      </w:pPr>
      <w:r>
        <w:tab/>
        <w:t>Most of the SHGs are not making use of new technological innovations and skills except for banking transactions like deposit, withdrawal, and using ATM, Net banking, Pay TM. They take training on technical skills used for business by using cell phones and computers.  But a few members take interest in new technology. There is a lack of knowledge and education. It requires more training on the application on the smartphone in accounts maintaining and record keeping. After joining SHGs they learned few technical aspects, but there is a need for a lot more improvement in case technical empowerment.</w:t>
      </w:r>
    </w:p>
    <w:p>
      <w:pPr>
        <w:pStyle w:val="16"/>
        <w:numPr>
          <w:ilvl w:val="0"/>
          <w:numId w:val="5"/>
        </w:numPr>
        <w:tabs>
          <w:tab w:val="left" w:pos="720"/>
          <w:tab w:val="left" w:pos="810"/>
        </w:tabs>
        <w:spacing w:after="160" w:line="480" w:lineRule="auto"/>
        <w:jc w:val="both"/>
        <w:rPr>
          <w:rFonts w:ascii="Times New Roman" w:cs="Times New Roman" w:hAnsi="Times New Roman"/>
          <w:sz w:val="24"/>
          <w:szCs w:val="24"/>
        </w:rPr>
      </w:pPr>
      <w:r>
        <w:rPr>
          <w:rFonts w:ascii="Times New Roman" w:cs="Times New Roman" w:hAnsi="Times New Roman"/>
          <w:b/>
          <w:sz w:val="24"/>
          <w:szCs w:val="24"/>
        </w:rPr>
        <w:t>Social Empowerment</w:t>
      </w:r>
      <w:r>
        <w:rPr>
          <w:rFonts w:ascii="Times New Roman" w:cs="Times New Roman" w:hAnsi="Times New Roman"/>
          <w:sz w:val="24"/>
          <w:szCs w:val="24"/>
        </w:rPr>
        <w:t xml:space="preserve"> </w:t>
      </w:r>
    </w:p>
    <w:p>
      <w:pPr>
        <w:pStyle w:val="16"/>
        <w:tabs>
          <w:tab w:val="left" w:pos="720"/>
          <w:tab w:val="left" w:pos="810"/>
        </w:tabs>
        <w:spacing w:after="160" w:line="480" w:lineRule="auto"/>
        <w:ind w:left="450"/>
        <w:jc w:val="both"/>
        <w:rPr>
          <w:rFonts w:ascii="Times New Roman" w:cs="Times New Roman" w:hAnsi="Times New Roman"/>
          <w:sz w:val="24"/>
          <w:szCs w:val="24"/>
        </w:rPr>
      </w:pPr>
      <w:r>
        <w:rPr>
          <w:rFonts w:ascii="Times New Roman" w:cs="Times New Roman" w:hAnsi="Times New Roman"/>
          <w:sz w:val="24"/>
          <w:szCs w:val="24"/>
        </w:rPr>
        <w:tab/>
        <w:t>Microfinance program develops the overall personality of its participants. Under this program, the group activities lead to the development of basic skills like doing basic arithmetic, filling bank forms, and understanding passbook entries. SHGs, influence the level of comfort and confidence of its members by developing basic skills, leadership skills, and communication skill in them. Thus, it leads to self-confidence after joining an SHG. The SHGs provide opportunities for every member to interact with other members and the discussions that take place, will help get knowledge on current issues, get social justice, and social security. It also helps in social aspects like improved decision-making ability. Some of the SHGs do not engage in the community-driven program and are not interested in building social relationships among the members.</w:t>
      </w:r>
    </w:p>
    <w:p>
      <w:pPr>
        <w:pStyle w:val="16"/>
        <w:tabs>
          <w:tab w:val="right" w:pos="9360"/>
        </w:tabs>
        <w:spacing w:line="360" w:lineRule="auto"/>
        <w:jc w:val="both"/>
        <w:rPr>
          <w:rFonts w:ascii="Times New Roman" w:cs="Times New Roman" w:hAnsi="Times New Roman"/>
          <w:sz w:val="24"/>
          <w:szCs w:val="24"/>
        </w:rPr>
      </w:pPr>
      <w:r>
        <w:rPr>
          <w:rFonts w:ascii="Times New Roman" w:cs="Times New Roman" w:hAnsi="Times New Roman"/>
          <w:sz w:val="24"/>
          <w:szCs w:val="24"/>
        </w:rPr>
        <w:tab/>
      </w:r>
    </w:p>
    <w:p>
      <w:pPr>
        <w:pStyle w:val="16"/>
        <w:tabs>
          <w:tab w:val="left" w:pos="270"/>
          <w:tab w:val="left" w:pos="360"/>
        </w:tabs>
        <w:spacing w:after="160" w:line="480" w:lineRule="auto"/>
        <w:ind w:left="360"/>
        <w:jc w:val="both"/>
      </w:pPr>
      <w:r>
        <w:rPr>
          <w:rFonts w:ascii="Times New Roman" w:cs="Times New Roman" w:hAnsi="Times New Roman"/>
          <w:b/>
          <w:sz w:val="28"/>
          <w:szCs w:val="28"/>
        </w:rPr>
        <w:t>15. Summary of Suggestions.</w:t>
      </w:r>
      <w:r>
        <w:t xml:space="preserve"> </w:t>
      </w:r>
    </w:p>
    <w:p>
      <w:pPr>
        <w:pStyle w:val="16"/>
        <w:tabs>
          <w:tab w:val="left" w:pos="270"/>
          <w:tab w:val="left" w:pos="360"/>
        </w:tabs>
        <w:spacing w:after="160" w:line="480" w:lineRule="auto"/>
        <w:ind w:left="360"/>
        <w:jc w:val="both"/>
        <w:rPr>
          <w:rFonts w:ascii="Times New Roman" w:hAnsi="Times New Roman"/>
          <w:sz w:val="28"/>
          <w:szCs w:val="28"/>
        </w:rPr>
      </w:pPr>
      <w:r>
        <w:rPr>
          <w:rFonts w:ascii="Times New Roman" w:hAnsi="Times New Roman"/>
          <w:sz w:val="24"/>
          <w:szCs w:val="24"/>
        </w:rPr>
        <w:t xml:space="preserve">The study reveals that the Economic Empowerment of women is 40%, Social Empowerment 21.4%, Technical Empowerment 9.57%, Political Empowerment 2.55%, total empowerment is 73.66%, and the remaining 26.34% is needed for the overall empowerment of women. Hence, it is suggested that all institutions such as National Bank For Agriculture and Rural Development, Self Help Promoting Institutions, Microfinance Institutions, Co-operative Core Banking Solutions, Primary Agricultural Credit Society, Non-Governmental Organization, Regional Rural Banks, SKDRD Project, Self Help Groups, Reserve Bank of India, State Government, Central Government, all members of SHGs, the society and all family members, should equally contribute for the empowerment of women. Everyone must take equal responsibility and do their duties honestly, ethically, and show equal and participative treatment. These moves will help in a hundred percent of women empowerment in the future. Such movements involving all these agencies and participative functioning will have a greater positive impact on the different dimensions of women empowerment in respect of economic, social, political, technical, psychological, and educational empowerment of women. The economic independence and improvement in the purchasing power of women through the participation of microfinance institutions improve the financial status of the member beneficiaries and make them feel economically empowered. </w:t>
      </w:r>
    </w:p>
    <w:p>
      <w:pPr>
        <w:pStyle w:val="16"/>
        <w:tabs>
          <w:tab w:val="left" w:pos="709"/>
          <w:tab w:val="left" w:pos="851"/>
          <w:tab w:val="left" w:pos="993"/>
        </w:tabs>
        <w:spacing w:line="480" w:lineRule="auto"/>
        <w:ind w:left="360"/>
        <w:jc w:val="both"/>
        <w:rPr>
          <w:rFonts w:ascii="Times New Roman" w:hAnsi="Times New Roman"/>
          <w:sz w:val="24"/>
          <w:szCs w:val="24"/>
        </w:rPr>
      </w:pPr>
    </w:p>
    <w:p>
      <w:pPr>
        <w:pStyle w:val="16"/>
        <w:tabs>
          <w:tab w:val="left" w:pos="709"/>
          <w:tab w:val="left" w:pos="851"/>
          <w:tab w:val="left" w:pos="993"/>
        </w:tabs>
        <w:spacing w:line="480" w:lineRule="auto"/>
        <w:ind w:left="360"/>
        <w:jc w:val="both"/>
        <w:rPr>
          <w:rFonts w:ascii="Times New Roman" w:hAnsi="Times New Roman"/>
          <w:sz w:val="24"/>
          <w:szCs w:val="24"/>
        </w:rPr>
      </w:pPr>
      <w:r>
        <w:rPr>
          <w:rFonts w:ascii="Times New Roman" w:hAnsi="Times New Roman"/>
          <w:sz w:val="24"/>
          <w:szCs w:val="24"/>
        </w:rPr>
        <w:t xml:space="preserve">The increased income, savings, increase in the value of productive assets, employment opportunities, improvement in their employability skills, improvement in entrepreneurial attitude will boost the confidence level of the members of SHGs. Their involvement in training and professional development of women, participation in community activity, improvement of social status, group management, financial literacy, children and female education, ability to manage risk against domestic violence, dowry, female infanticide, and sexual harassment are a positive development in women empowerment. Their participation in </w:t>
      </w:r>
      <w:r>
        <w:rPr>
          <w:rFonts w:ascii="Times New Roman" w:hAnsi="Times New Roman"/>
          <w:i/>
          <w:sz w:val="24"/>
          <w:szCs w:val="24"/>
        </w:rPr>
        <w:t>panchayat raj</w:t>
      </w:r>
      <w:r>
        <w:rPr>
          <w:rFonts w:ascii="Times New Roman" w:hAnsi="Times New Roman"/>
          <w:sz w:val="24"/>
          <w:szCs w:val="24"/>
        </w:rPr>
        <w:t xml:space="preserve"> institutions, awareness regarding reservation for in </w:t>
      </w:r>
      <w:r>
        <w:rPr>
          <w:rFonts w:ascii="Times New Roman" w:hAnsi="Times New Roman"/>
          <w:i/>
          <w:sz w:val="24"/>
          <w:szCs w:val="24"/>
        </w:rPr>
        <w:t>panchayat</w:t>
      </w:r>
      <w:r>
        <w:rPr>
          <w:rFonts w:ascii="Times New Roman" w:hAnsi="Times New Roman"/>
          <w:sz w:val="24"/>
          <w:szCs w:val="24"/>
        </w:rPr>
        <w:t xml:space="preserve"> jobs, participating in </w:t>
      </w:r>
      <w:r>
        <w:rPr>
          <w:rFonts w:ascii="Times New Roman" w:hAnsi="Times New Roman"/>
          <w:i/>
          <w:sz w:val="24"/>
          <w:szCs w:val="24"/>
        </w:rPr>
        <w:t>gram sabha</w:t>
      </w:r>
      <w:r>
        <w:rPr>
          <w:rFonts w:ascii="Times New Roman" w:hAnsi="Times New Roman"/>
          <w:sz w:val="24"/>
          <w:szCs w:val="24"/>
        </w:rPr>
        <w:t xml:space="preserve"> and voting, awareness about health and hygiene, safety, and security of children and women are some of the additional outcomes of women empowerment.</w:t>
      </w:r>
    </w:p>
    <w:p>
      <w:pPr>
        <w:pStyle w:val="16"/>
        <w:tabs>
          <w:tab w:val="left" w:pos="709"/>
          <w:tab w:val="left" w:pos="851"/>
          <w:tab w:val="left" w:pos="993"/>
        </w:tabs>
        <w:spacing w:line="480" w:lineRule="auto"/>
        <w:ind w:left="360"/>
        <w:jc w:val="both"/>
        <w:rPr>
          <w:rFonts w:ascii="Times New Roman" w:cs="Times New Roman" w:hAnsi="Times New Roman"/>
          <w:sz w:val="24"/>
          <w:szCs w:val="24"/>
        </w:rPr>
      </w:pPr>
      <w:r>
        <w:rPr>
          <w:rFonts w:ascii="Times New Roman" w:cs="Times New Roman" w:hAnsi="Times New Roman"/>
          <w:b/>
          <w:sz w:val="28"/>
          <w:szCs w:val="28"/>
        </w:rPr>
        <w:t>16. Conclusion.</w:t>
      </w:r>
    </w:p>
    <w:p>
      <w:pPr>
        <w:spacing w:before="120" w:after="120" w:line="360" w:lineRule="auto"/>
        <w:ind w:firstLine="720"/>
        <w:jc w:val="both"/>
        <w:rPr>
          <w:iCs/>
        </w:rPr>
      </w:pPr>
      <w:r>
        <w:t>Microfinance is a significant factor and accessible to small groups for the socio, economic, and technical progress of the people. Both Governmental and Non –governmental institutions are working in this regard. This is expected to help in the transformation of a poor economy to a national asset by the sanction of development projects. In this context, microfinance and SHGs can claim due to a position to uplift the status of women. It is the belief that the poor are not the right candidates for availing loans as they have not been involved with any business and income-generating activities</w:t>
      </w:r>
      <w:r>
        <w:rPr>
          <w:iCs/>
        </w:rPr>
        <w:t>.</w:t>
      </w:r>
    </w:p>
    <w:p>
      <w:pPr>
        <w:spacing w:line="360" w:lineRule="auto"/>
        <w:rPr>
          <w:b/>
          <w:bCs/>
          <w:iCs/>
          <w:sz w:val="28"/>
          <w:szCs w:val="28"/>
        </w:rPr>
      </w:pPr>
      <w:r>
        <w:rPr>
          <w:b/>
          <w:bCs/>
          <w:iCs/>
          <w:sz w:val="28"/>
          <w:szCs w:val="28"/>
        </w:rPr>
        <w:t xml:space="preserve"> 17.    References</w:t>
      </w:r>
    </w:p>
    <w:p>
      <w:pPr>
        <w:spacing w:before="120" w:after="120" w:line="360" w:lineRule="auto"/>
        <w:ind w:firstLine="720"/>
        <w:rPr>
          <w:b/>
        </w:rPr>
      </w:pPr>
      <w:r>
        <w:rPr>
          <w:b/>
        </w:rPr>
        <w:t>Books</w:t>
      </w:r>
    </w:p>
    <w:p>
      <w:pPr>
        <w:pStyle w:val="16"/>
        <w:numPr>
          <w:ilvl w:val="0"/>
          <w:numId w:val="6"/>
        </w:numPr>
        <w:autoSpaceDE w:val="0"/>
        <w:autoSpaceDN w:val="0"/>
        <w:adjustRightInd w:val="0"/>
        <w:spacing w:line="360" w:lineRule="auto"/>
        <w:contextualSpacing/>
        <w:jc w:val="both"/>
        <w:rPr>
          <w:rFonts w:ascii="Times New Roman" w:cs="Times New Roman" w:hAnsi="Times New Roman"/>
          <w:sz w:val="24"/>
          <w:szCs w:val="24"/>
        </w:rPr>
      </w:pPr>
      <w:r>
        <w:rPr>
          <w:rFonts w:ascii="Times New Roman" w:cs="Times New Roman" w:hAnsi="Times New Roman"/>
          <w:sz w:val="24"/>
          <w:szCs w:val="24"/>
        </w:rPr>
        <w:t>Abdul Raheem A. (2011), Women Empowerment through Self Help Groups, New Delhi: First Edition, ISBN: 10-8177082876, Pg: 25-49.</w:t>
      </w:r>
    </w:p>
    <w:p>
      <w:pPr>
        <w:pStyle w:val="16"/>
        <w:numPr>
          <w:ilvl w:val="0"/>
          <w:numId w:val="6"/>
        </w:numPr>
        <w:autoSpaceDE w:val="0"/>
        <w:autoSpaceDN w:val="0"/>
        <w:adjustRightInd w:val="0"/>
        <w:spacing w:line="360" w:lineRule="auto"/>
        <w:contextualSpacing/>
        <w:jc w:val="both"/>
        <w:rPr>
          <w:rFonts w:ascii="Times New Roman" w:cs="Times New Roman" w:hAnsi="Times New Roman"/>
          <w:sz w:val="24"/>
          <w:szCs w:val="24"/>
        </w:rPr>
      </w:pPr>
      <w:r>
        <w:rPr>
          <w:rFonts w:ascii="Times New Roman" w:cs="Times New Roman" w:hAnsi="Times New Roman"/>
          <w:sz w:val="24"/>
          <w:szCs w:val="24"/>
        </w:rPr>
        <w:t>AnandSaxena (2005), Entrepreneurship, Motivation, Performance, Rewards, New Delhi: Deep and Deep Publications, First Edition, ISBN: 81-7629-729-1, Pg: 113-176.</w:t>
      </w:r>
    </w:p>
    <w:p>
      <w:pPr>
        <w:pStyle w:val="16"/>
        <w:numPr>
          <w:ilvl w:val="0"/>
          <w:numId w:val="6"/>
        </w:numPr>
        <w:autoSpaceDE w:val="0"/>
        <w:autoSpaceDN w:val="0"/>
        <w:adjustRightInd w:val="0"/>
        <w:spacing w:line="360" w:lineRule="auto"/>
        <w:contextualSpacing/>
        <w:jc w:val="both"/>
        <w:rPr>
          <w:rFonts w:ascii="Times New Roman" w:cs="Times New Roman" w:hAnsi="Times New Roman"/>
          <w:sz w:val="24"/>
          <w:szCs w:val="24"/>
        </w:rPr>
      </w:pPr>
      <w:r>
        <w:rPr>
          <w:rFonts w:ascii="Times New Roman" w:cs="Times New Roman" w:hAnsi="Times New Roman"/>
          <w:sz w:val="24"/>
          <w:szCs w:val="24"/>
        </w:rPr>
        <w:t>Anil Kumar and Professor H.L. Verma, Women Entrepreneurship in India, New Delhi: Regal Publications, ISBN: 81-88915-83-5, Pg: 223-310.</w:t>
      </w:r>
    </w:p>
    <w:p>
      <w:pPr>
        <w:autoSpaceDE w:val="0"/>
        <w:autoSpaceDN w:val="0"/>
        <w:adjustRightInd w:val="0"/>
        <w:spacing w:line="360" w:lineRule="auto"/>
        <w:jc w:val="both"/>
        <w:rPr>
          <w:b/>
          <w:bCs/>
        </w:rPr>
      </w:pPr>
      <w:r>
        <w:rPr>
          <w:b/>
          <w:bCs/>
          <w:sz w:val="28"/>
        </w:rPr>
        <w:t xml:space="preserve">         </w:t>
      </w:r>
      <w:r>
        <w:rPr>
          <w:b/>
          <w:bCs/>
        </w:rPr>
        <w:t>Articles</w:t>
      </w:r>
    </w:p>
    <w:p>
      <w:pPr>
        <w:pStyle w:val="23"/>
        <w:numPr>
          <w:ilvl w:val="0"/>
          <w:numId w:val="7"/>
        </w:numPr>
        <w:spacing w:line="360" w:lineRule="auto"/>
        <w:jc w:val="both"/>
        <w:rPr>
          <w:rFonts w:ascii="Times New Roman" w:cs="Times New Roman" w:hAnsi="Times New Roman"/>
          <w:sz w:val="24"/>
          <w:szCs w:val="24"/>
          <w:lang w:val="en-IN"/>
        </w:rPr>
      </w:pPr>
      <w:r>
        <w:rPr>
          <w:rFonts w:ascii="Times New Roman" w:cs="Times New Roman" w:hAnsi="Times New Roman"/>
          <w:sz w:val="24"/>
          <w:szCs w:val="24"/>
        </w:rPr>
        <w:t>Amrinder Singh and Dr. Sushil Kumar Mehta (July, 2015), “Self-Help Groups Prosper In Jammu</w:t>
      </w:r>
      <w:r>
        <w:rPr>
          <w:rFonts w:ascii="Times New Roman" w:cs="Times New Roman" w:hAnsi="Times New Roman"/>
          <w:i/>
          <w:sz w:val="24"/>
          <w:szCs w:val="24"/>
        </w:rPr>
        <w:t>”, Management Accountant,</w:t>
      </w:r>
      <w:r>
        <w:rPr>
          <w:rFonts w:ascii="Times New Roman" w:cs="Times New Roman" w:hAnsi="Times New Roman"/>
          <w:sz w:val="24"/>
          <w:szCs w:val="24"/>
        </w:rPr>
        <w:t xml:space="preserve"> Vol.50, Pg:16-19.</w:t>
      </w:r>
    </w:p>
    <w:p>
      <w:pPr>
        <w:pStyle w:val="16"/>
        <w:numPr>
          <w:ilvl w:val="0"/>
          <w:numId w:val="7"/>
        </w:numPr>
        <w:autoSpaceDE w:val="0"/>
        <w:autoSpaceDN w:val="0"/>
        <w:adjustRightInd w:val="0"/>
        <w:spacing w:line="360" w:lineRule="auto"/>
        <w:contextualSpacing/>
        <w:jc w:val="both"/>
        <w:rPr>
          <w:rFonts w:ascii="Times New Roman" w:cs="Times New Roman" w:hAnsi="Times New Roman"/>
          <w:sz w:val="24"/>
          <w:szCs w:val="24"/>
        </w:rPr>
      </w:pPr>
      <w:r>
        <w:rPr>
          <w:rFonts w:ascii="Times New Roman" w:cs="Times New Roman" w:hAnsi="Times New Roman"/>
          <w:sz w:val="24"/>
          <w:szCs w:val="24"/>
        </w:rPr>
        <w:t>Balakrishnan T.V.  ( July, 2007 ) “Financial Inclusion the practical aspects</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i/>
          <w:sz w:val="24"/>
          <w:szCs w:val="24"/>
        </w:rPr>
        <w:t xml:space="preserve">IcfaiJournal, </w:t>
      </w:r>
      <w:r>
        <w:rPr>
          <w:rFonts w:ascii="Times New Roman" w:cs="Times New Roman" w:hAnsi="Times New Roman"/>
          <w:sz w:val="24"/>
          <w:szCs w:val="24"/>
        </w:rPr>
        <w:t>Ref#08M-2007-07-11-01, Pg: 58-61.</w:t>
      </w:r>
    </w:p>
    <w:p>
      <w:pPr>
        <w:pStyle w:val="16"/>
        <w:spacing w:line="360" w:lineRule="auto"/>
        <w:jc w:val="both"/>
        <w:rPr>
          <w:rFonts w:ascii="Times New Roman" w:cs="Times New Roman" w:hAnsi="Times New Roman"/>
          <w:sz w:val="24"/>
          <w:szCs w:val="24"/>
        </w:rPr>
      </w:pPr>
      <w:r>
        <w:rPr>
          <w:rFonts w:ascii="Times New Roman" w:cs="Times New Roman" w:hAnsi="Times New Roman"/>
          <w:sz w:val="24"/>
          <w:szCs w:val="24"/>
        </w:rPr>
        <w:t>ChanchalCharan (November 15, 2013), “Microfinance in India: Rural Development and Poverty Alleviation”,</w:t>
      </w:r>
      <w:r>
        <w:rPr>
          <w:rFonts w:ascii="Times New Roman" w:cs="Times New Roman" w:hAnsi="Times New Roman"/>
          <w:i/>
          <w:sz w:val="24"/>
          <w:szCs w:val="24"/>
        </w:rPr>
        <w:t>SothernEconomis,t</w:t>
      </w:r>
      <w:r>
        <w:rPr>
          <w:rFonts w:ascii="Times New Roman" w:cs="Times New Roman" w:hAnsi="Times New Roman"/>
          <w:sz w:val="24"/>
          <w:szCs w:val="24"/>
        </w:rPr>
        <w:t xml:space="preserve"> Vol.51, Pg: 41-49</w:t>
      </w:r>
    </w:p>
    <w:p>
      <w:pPr>
        <w:spacing w:line="360" w:lineRule="auto"/>
        <w:jc w:val="both"/>
      </w:pPr>
    </w:p>
    <w:sectPr>
      <w:pgSz w:w="12240" w:h="15840"/>
      <w:pgMar w:top="1440" w:right="1440" w:bottom="1440" w:left="144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Evermore Ming">
    <w:altName w:val="Droid Sans"/>
    <w:panose1 w:val="00000000000000000000"/>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0000000000000000000"/>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3153E7B"/>
    <w:multiLevelType w:val="hybridMultilevel"/>
    <w:tmpl w:val="27983444"/>
    <w:lvl w:ilvl="0">
      <w:start w:val="1"/>
      <w:numFmt w:val="decimal"/>
      <w:lvlRestart w:val="0"/>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1"/>
    <w:multiLevelType w:val="hybridMultilevel"/>
    <w:tmpl w:val="FBDA9554"/>
    <w:lvl w:ilvl="0">
      <w:start w:val="1"/>
      <w:numFmt w:val="decimal"/>
      <w:lvlRestart w:val="0"/>
      <w:lvlText w:val="%1."/>
      <w:lvlJc w:val="left"/>
      <w:pPr>
        <w:tabs>
          <w:tab w:val="num" w:pos="0"/>
        </w:tabs>
        <w:ind w:left="720" w:hanging="360"/>
      </w:pPr>
      <w:rPr>
        <w:rFonts w:ascii="Times New Roman" w:hAnsi="Times New Roman" w:cs="Times New Roman" w:hint="default"/>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2"/>
    <w:multiLevelType w:val="multilevel"/>
    <w:tmpl w:val="3508F9C2"/>
    <w:lvl w:ilvl="0">
      <w:start w:val="1"/>
      <w:numFmt w:val="decimal"/>
      <w:lvlRestart w:val="0"/>
      <w:lvlText w:val="%1."/>
      <w:lvlJc w:val="left"/>
      <w:pPr>
        <w:tabs>
          <w:tab w:val="num" w:pos="0"/>
        </w:tabs>
        <w:ind w:left="720" w:hanging="360"/>
      </w:pPr>
    </w:lvl>
    <w:lvl w:ilvl="1">
      <w:start w:val="7"/>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
    <w:nsid w:val="628F4D1E"/>
    <w:multiLevelType w:val="hybridMultilevel"/>
    <w:tmpl w:val="9A2E5020"/>
    <w:lvl w:ilvl="0">
      <w:start w:val="1"/>
      <w:numFmt w:val="decimal"/>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4E8F10C1"/>
    <w:multiLevelType w:val="hybridMultilevel"/>
    <w:tmpl w:val="69DA26F0"/>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nsid w:val="395940C0"/>
    <w:multiLevelType w:val="hybridMultilevel"/>
    <w:tmpl w:val="7F567FE8"/>
    <w:lvl w:ilvl="0">
      <w:start w:val="1"/>
      <w:numFmt w:val="decimal"/>
      <w:lvlRestart w:val="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1C6A4528"/>
    <w:multiLevelType w:val="hybridMultilevel"/>
    <w:tmpl w:val="D5BACB5A"/>
    <w:lvl w:ilvl="0">
      <w:start w:val="1"/>
      <w:numFmt w:val="decimal"/>
      <w:lvlRestart w:val="0"/>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1"/>
  <w:bordersDoNotSurroundHeader/>
  <w:bordersDoNotSurroundFooter/>
  <w:defaultTabStop w:val="720"/>
  <w:drawingGridHorizontalSpacing w:val="120"/>
  <w:drawingGridVerticalSpacing w:val="163"/>
  <w:displayHorizontalDrawingGridEvery w:val="0"/>
  <w:displayVerticalDrawingGridEvery w:val="1"/>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0" w:line="240" w:lineRule="auto"/>
    </w:pPr>
    <w:rPr>
      <w:rFonts w:ascii="Times New Roman" w:eastAsia="Times New Roman" w:cs="Times New Roman" w:hAnsi="Times New Roman"/>
      <w:sz w:val="24"/>
      <w:szCs w:val="24"/>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Evermore Ming" w:hAnsi="Luxi Sans"/>
      <w:b/>
      <w:sz w:val="32"/>
    </w:rPr>
  </w:style>
  <w:style w:type="paragraph" w:styleId="3">
    <w:name w:val="heading 3"/>
    <w:basedOn w:val="0"/>
    <w:next w:val="0"/>
    <w:pPr>
      <w:keepNext/>
      <w:keepLines/>
      <w:spacing w:before="200" w:line="276" w:lineRule="auto"/>
      <w:outlineLvl w:val="2"/>
    </w:pPr>
    <w:rPr>
      <w:rFonts w:ascii="Cambria" w:eastAsia="宋体" w:cs="Times New Roman" w:hAnsi="Cambria"/>
      <w:b/>
      <w:bCs/>
      <w:color w:val="4F81BD"/>
      <w:sz w:val="22"/>
      <w:szCs w:val="22"/>
    </w:rPr>
  </w:style>
  <w:style w:type="character" w:default="1" w:styleId="10">
    <w:name w:val="Default Paragraph Font"/>
  </w:style>
  <w:style w:type="paragraph" w:styleId="15">
    <w:name w:val="Normal (Web)"/>
    <w:basedOn w:val="0"/>
    <w:pPr>
      <w:spacing w:before="100" w:beforeAutospacing="1" w:after="100" w:afterAutospacing="1"/>
    </w:pPr>
    <w:rPr>
      <w:rFonts w:eastAsia="Calibri"/>
    </w:rPr>
  </w:style>
  <w:style w:type="paragraph" w:customStyle="1" w:styleId="16">
    <w:name w:val="List Paragraph"/>
    <w:basedOn w:val="0"/>
    <w:pPr>
      <w:spacing w:after="200" w:line="276" w:lineRule="auto"/>
      <w:ind w:left="720"/>
      <w:contextualSpacing/>
    </w:pPr>
    <w:rPr>
      <w:rFonts w:ascii="Calibri" w:eastAsia="宋体" w:cs="Arial" w:hAnsi="Calibri"/>
      <w:sz w:val="22"/>
      <w:szCs w:val="22"/>
    </w:rPr>
  </w:style>
  <w:style w:type="paragraph" w:customStyle="1" w:styleId="17">
    <w:name w:val="No Spacing"/>
    <w:pPr>
      <w:spacing w:after="0" w:line="240" w:lineRule="auto"/>
    </w:pPr>
    <w:rPr>
      <w:rFonts w:ascii="Calibri" w:eastAsia="Calibri" w:cs="Arial" w:hAnsi="Calibri"/>
      <w:sz w:val="22"/>
      <w:szCs w:val="22"/>
      <w:lang w:val="en-US" w:eastAsia="en-US" w:bidi="ar-SA"/>
    </w:rPr>
  </w:style>
  <w:style w:type="paragraph" w:styleId="18">
    <w:name w:val="header"/>
    <w:basedOn w:val="0"/>
    <w:pPr>
      <w:tabs>
        <w:tab w:val="center" w:pos="4680"/>
        <w:tab w:val="right" w:pos="9360"/>
      </w:tabs>
    </w:pPr>
  </w:style>
  <w:style w:type="paragraph" w:styleId="19">
    <w:name w:val="footer"/>
    <w:basedOn w:val="0"/>
    <w:pPr>
      <w:tabs>
        <w:tab w:val="center" w:pos="4680"/>
        <w:tab w:val="right" w:pos="9360"/>
      </w:tabs>
    </w:pPr>
  </w:style>
  <w:style w:type="paragraph" w:customStyle="1" w:styleId="20">
    <w:name w:val="Default"/>
    <w:pPr>
      <w:autoSpaceDE w:val="0"/>
      <w:autoSpaceDN w:val="0"/>
      <w:adjustRightInd w:val="0"/>
      <w:spacing w:after="0" w:line="240" w:lineRule="auto"/>
    </w:pPr>
    <w:rPr>
      <w:rFonts w:ascii="Times New Roman" w:eastAsia="宋体" w:cs="Times New Roman" w:hAnsi="Times New Roman"/>
      <w:color w:val="000000"/>
      <w:sz w:val="24"/>
      <w:szCs w:val="24"/>
      <w:lang w:val="en-US" w:eastAsia="en-US" w:bidi="ar-SA"/>
    </w:rPr>
  </w:style>
  <w:style w:type="character" w:styleId="21">
    <w:name w:val="Hyperlink"/>
    <w:basedOn w:val="10"/>
    <w:rPr>
      <w:strike w:val="0"/>
      <w:dstrike w:val="0"/>
      <w:color w:val="0066CC"/>
      <w:u w:val="none"/>
    </w:rPr>
  </w:style>
  <w:style w:type="character" w:styleId="22">
    <w:name w:val="Strong"/>
    <w:basedOn w:val="10"/>
    <w:rPr>
      <w:b/>
      <w:bCs/>
    </w:rPr>
  </w:style>
  <w:style w:type="paragraph" w:styleId="23">
    <w:name w:val="footnote text"/>
    <w:basedOn w:val="0"/>
    <w:rPr>
      <w:rFonts w:ascii="Calibri" w:eastAsia="宋体" w:cs="Arial" w:hAnsi="Calibri"/>
      <w:sz w:val="20"/>
      <w:szCs w:val="20"/>
    </w:rPr>
  </w:style>
  <w:style w:type="character" w:styleId="24">
    <w:name w:val="footnote reference"/>
    <w:basedOn w:val="10"/>
    <w:rPr>
      <w:vertAlign w:val="superscript"/>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Application>
  <Pages>13</Pages>
  <Words>2856</Words>
  <Characters>16690</Characters>
  <Lines>444</Lines>
  <Paragraphs>205</Paragraphs>
  <CharactersWithSpaces>19932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commerce</dc:creator>
  <cp:lastModifiedBy>vivo user</cp:lastModifiedBy>
  <cp:revision>4</cp:revision>
  <cp:lastPrinted>2016-02-12T12:13:00Z</cp:lastPrinted>
  <dcterms:created xsi:type="dcterms:W3CDTF">2023-04-11T07:15:00Z</dcterms:created>
  <dcterms:modified xsi:type="dcterms:W3CDTF">2023-04-13T03:57:28Z</dcterms:modified>
</cp:coreProperties>
</file>