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967" w:rsidRDefault="00B92967" w:rsidP="00B92967">
      <w:pPr>
        <w:spacing w:line="360" w:lineRule="auto"/>
        <w:jc w:val="center"/>
        <w:rPr>
          <w:rFonts w:ascii="Times New Roman" w:hAnsi="Times New Roman" w:cs="Times New Roman"/>
          <w:b/>
          <w:bCs/>
          <w:sz w:val="28"/>
          <w:szCs w:val="28"/>
        </w:rPr>
      </w:pPr>
      <w:r w:rsidRPr="00C97149">
        <w:rPr>
          <w:rFonts w:ascii="Times New Roman" w:hAnsi="Times New Roman" w:cs="Times New Roman"/>
          <w:b/>
          <w:bCs/>
          <w:sz w:val="28"/>
          <w:szCs w:val="28"/>
        </w:rPr>
        <w:t>A STUDY ON LIQUIDITY AND PROFITABILITY A</w:t>
      </w:r>
      <w:r>
        <w:rPr>
          <w:rFonts w:ascii="Times New Roman" w:hAnsi="Times New Roman" w:cs="Times New Roman"/>
          <w:b/>
          <w:bCs/>
          <w:sz w:val="28"/>
          <w:szCs w:val="28"/>
        </w:rPr>
        <w:t>NALYSIS OF SELECTED PRIVATE SECTOR BANKS</w:t>
      </w:r>
    </w:p>
    <w:p w:rsidR="00B92967" w:rsidRPr="00560C53" w:rsidRDefault="00B92967" w:rsidP="00B92967"/>
    <w:p w:rsidR="00B92967" w:rsidRDefault="00B92967" w:rsidP="00B92967">
      <w:pPr>
        <w:pStyle w:val="Heading1"/>
      </w:pPr>
      <w:r>
        <w:t>M</w:t>
      </w:r>
      <w:r>
        <w:t>r</w:t>
      </w:r>
      <w:r>
        <w:t>s. T. SREEGEETHA</w:t>
      </w:r>
    </w:p>
    <w:p w:rsidR="00B92967" w:rsidRDefault="00B92967" w:rsidP="00B92967">
      <w:pPr>
        <w:pStyle w:val="Heading1"/>
      </w:pPr>
      <w:r>
        <w:t xml:space="preserve">Assistant </w:t>
      </w:r>
      <w:r>
        <w:t xml:space="preserve">Professor </w:t>
      </w:r>
    </w:p>
    <w:p w:rsidR="00B92967" w:rsidRDefault="00B92967" w:rsidP="00B92967">
      <w:pPr>
        <w:pStyle w:val="Heading1"/>
      </w:pPr>
      <w:r>
        <w:t xml:space="preserve">Department Of Commerce with Computer Applications </w:t>
      </w:r>
    </w:p>
    <w:p w:rsidR="00B92967" w:rsidRDefault="00B92967" w:rsidP="00B92967">
      <w:pPr>
        <w:pStyle w:val="Heading1"/>
      </w:pPr>
      <w:r>
        <w:t xml:space="preserve">Dr. N.G.P. ARTS AND SCIENCE COLLEGE </w:t>
      </w:r>
    </w:p>
    <w:p w:rsidR="00B92967" w:rsidRDefault="00B92967" w:rsidP="00B92967">
      <w:pPr>
        <w:pStyle w:val="Heading1"/>
      </w:pPr>
      <w:r>
        <w:t xml:space="preserve">Coimbatore – 48 </w:t>
      </w:r>
    </w:p>
    <w:p w:rsidR="00B92967" w:rsidRDefault="00B92967" w:rsidP="00B92967">
      <w:pPr>
        <w:pStyle w:val="Heading1"/>
      </w:pPr>
      <w:r>
        <w:t>Mr. KAVIN KUMAR.C</w:t>
      </w:r>
      <w:bookmarkStart w:id="0" w:name="_GoBack"/>
      <w:bookmarkEnd w:id="0"/>
    </w:p>
    <w:p w:rsidR="00B92967" w:rsidRDefault="00B92967" w:rsidP="00B92967">
      <w:pPr>
        <w:pStyle w:val="Heading1"/>
      </w:pPr>
      <w:r>
        <w:t xml:space="preserve">Student </w:t>
      </w:r>
    </w:p>
    <w:p w:rsidR="00B92967" w:rsidRDefault="00B92967" w:rsidP="00B92967">
      <w:pPr>
        <w:pStyle w:val="Heading1"/>
      </w:pPr>
      <w:r>
        <w:t xml:space="preserve">B.COM CA </w:t>
      </w:r>
    </w:p>
    <w:p w:rsidR="00B92967" w:rsidRDefault="00B92967" w:rsidP="00B92967">
      <w:pPr>
        <w:pStyle w:val="Heading1"/>
      </w:pPr>
      <w:r>
        <w:t xml:space="preserve">Department Of Commerce with Computer Applications </w:t>
      </w:r>
    </w:p>
    <w:p w:rsidR="00B92967" w:rsidRDefault="00B92967" w:rsidP="00B92967">
      <w:pPr>
        <w:pStyle w:val="Heading1"/>
      </w:pPr>
      <w:r>
        <w:t xml:space="preserve">Dr. N.G.P. ARTS AND SCIENCE COLLEGE </w:t>
      </w:r>
    </w:p>
    <w:p w:rsidR="00B92967" w:rsidRDefault="00B92967" w:rsidP="00B92967">
      <w:pPr>
        <w:pStyle w:val="Heading1"/>
      </w:pPr>
      <w:r>
        <w:t xml:space="preserve">Coimbatore – 48 </w:t>
      </w:r>
    </w:p>
    <w:p w:rsidR="00B92967" w:rsidRDefault="00B92967" w:rsidP="00B92967">
      <w:pPr>
        <w:spacing w:line="360" w:lineRule="auto"/>
        <w:rPr>
          <w:rFonts w:ascii="Times New Roman" w:hAnsi="Times New Roman" w:cs="Times New Roman"/>
          <w:b/>
          <w:bCs/>
          <w:sz w:val="28"/>
          <w:szCs w:val="28"/>
        </w:rPr>
      </w:pPr>
    </w:p>
    <w:p w:rsidR="00B92967" w:rsidRDefault="00B92967">
      <w:pPr>
        <w:spacing w:after="200" w:line="276" w:lineRule="auto"/>
        <w:rPr>
          <w:rFonts w:ascii="Times New Roman" w:hAnsi="Times New Roman" w:cs="Times New Roman"/>
          <w:b/>
          <w:bCs/>
          <w:sz w:val="28"/>
          <w:szCs w:val="28"/>
        </w:rPr>
      </w:pPr>
      <w:r>
        <w:rPr>
          <w:rFonts w:ascii="Times New Roman" w:hAnsi="Times New Roman" w:cs="Times New Roman"/>
          <w:b/>
          <w:bCs/>
          <w:sz w:val="28"/>
          <w:szCs w:val="28"/>
        </w:rPr>
        <w:br w:type="page"/>
      </w:r>
    </w:p>
    <w:p w:rsidR="00741E0C" w:rsidRDefault="00741E0C" w:rsidP="00741E0C">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rsidR="00741E0C" w:rsidRDefault="00741E0C" w:rsidP="0032614A">
      <w:pPr>
        <w:spacing w:line="360" w:lineRule="auto"/>
        <w:jc w:val="both"/>
        <w:rPr>
          <w:rFonts w:ascii="Times New Roman" w:hAnsi="Times New Roman" w:cs="Times New Roman"/>
          <w:bCs/>
          <w:sz w:val="24"/>
          <w:szCs w:val="24"/>
        </w:rPr>
      </w:pPr>
      <w:r w:rsidRPr="00741E0C">
        <w:rPr>
          <w:rFonts w:ascii="Times New Roman" w:hAnsi="Times New Roman" w:cs="Times New Roman"/>
          <w:bCs/>
          <w:sz w:val="24"/>
          <w:szCs w:val="24"/>
        </w:rPr>
        <w:t>For the development of the economy of the country, a sound, effective and hassle- free banking system is important. The objective of the study</w:t>
      </w:r>
      <w:r>
        <w:rPr>
          <w:rFonts w:ascii="Times New Roman" w:hAnsi="Times New Roman" w:cs="Times New Roman"/>
          <w:bCs/>
          <w:sz w:val="24"/>
          <w:szCs w:val="24"/>
        </w:rPr>
        <w:t xml:space="preserve"> was to compare the analysis of HDFC bank and </w:t>
      </w:r>
      <w:proofErr w:type="spellStart"/>
      <w:r>
        <w:rPr>
          <w:rFonts w:ascii="Times New Roman" w:hAnsi="Times New Roman" w:cs="Times New Roman"/>
          <w:bCs/>
          <w:sz w:val="24"/>
          <w:szCs w:val="24"/>
        </w:rPr>
        <w:t>Kotak</w:t>
      </w:r>
      <w:proofErr w:type="spellEnd"/>
      <w:r>
        <w:rPr>
          <w:rFonts w:ascii="Times New Roman" w:hAnsi="Times New Roman" w:cs="Times New Roman"/>
          <w:bCs/>
          <w:sz w:val="24"/>
          <w:szCs w:val="24"/>
        </w:rPr>
        <w:t xml:space="preserve"> Mahindra Bank.</w:t>
      </w:r>
      <w:r w:rsidR="0011441E" w:rsidRPr="0011441E">
        <w:t xml:space="preserve"> </w:t>
      </w:r>
      <w:r w:rsidR="0011441E" w:rsidRPr="0011441E">
        <w:rPr>
          <w:rFonts w:ascii="Times New Roman" w:hAnsi="Times New Roman" w:cs="Times New Roman"/>
          <w:bCs/>
          <w:sz w:val="24"/>
          <w:szCs w:val="24"/>
        </w:rPr>
        <w:t>The main goal of banks today is to maintain stability and make sure they are impervious to external shocks while at the same time being internally sound and sensible. Hence, it is important to measure soundness across various banks in the country, identify the weaker sections of the banking sector, devise appropriate strategies and policies to lift these sections and eventually create an environment that leads banks to converge in soundness and result in a consistently stable system. This study analyzes the various aspects of convergence and soundness in the Indian Banking se</w:t>
      </w:r>
      <w:r w:rsidR="0011441E">
        <w:rPr>
          <w:rFonts w:ascii="Times New Roman" w:hAnsi="Times New Roman" w:cs="Times New Roman"/>
          <w:bCs/>
          <w:sz w:val="24"/>
          <w:szCs w:val="24"/>
        </w:rPr>
        <w:t xml:space="preserve">ctor by computing the liquidity and profitability </w:t>
      </w:r>
      <w:r w:rsidR="0011441E" w:rsidRPr="0011441E">
        <w:rPr>
          <w:rFonts w:ascii="Times New Roman" w:hAnsi="Times New Roman" w:cs="Times New Roman"/>
          <w:bCs/>
          <w:sz w:val="24"/>
          <w:szCs w:val="24"/>
        </w:rPr>
        <w:t>position of the selected banks with different ratios</w:t>
      </w:r>
      <w:proofErr w:type="gramStart"/>
      <w:r w:rsidR="0011441E" w:rsidRPr="0011441E">
        <w:rPr>
          <w:rFonts w:ascii="Times New Roman" w:hAnsi="Times New Roman" w:cs="Times New Roman"/>
          <w:bCs/>
          <w:sz w:val="24"/>
          <w:szCs w:val="24"/>
        </w:rPr>
        <w:t>.</w:t>
      </w:r>
      <w:r w:rsidRPr="00741E0C">
        <w:rPr>
          <w:rFonts w:ascii="Times New Roman" w:hAnsi="Times New Roman" w:cs="Times New Roman"/>
          <w:bCs/>
          <w:sz w:val="24"/>
          <w:szCs w:val="24"/>
        </w:rPr>
        <w:t>.</w:t>
      </w:r>
      <w:proofErr w:type="gramEnd"/>
      <w:r w:rsidRPr="00741E0C">
        <w:rPr>
          <w:rFonts w:ascii="Times New Roman" w:hAnsi="Times New Roman" w:cs="Times New Roman"/>
          <w:bCs/>
          <w:sz w:val="24"/>
          <w:szCs w:val="24"/>
        </w:rPr>
        <w:t xml:space="preserve"> The combination of these two banks will become the greatest private bank in India and shall be </w:t>
      </w:r>
      <w:proofErr w:type="gramStart"/>
      <w:r w:rsidRPr="00741E0C">
        <w:rPr>
          <w:rFonts w:ascii="Times New Roman" w:hAnsi="Times New Roman" w:cs="Times New Roman"/>
          <w:bCs/>
          <w:sz w:val="24"/>
          <w:szCs w:val="24"/>
        </w:rPr>
        <w:t>easy</w:t>
      </w:r>
      <w:proofErr w:type="gramEnd"/>
      <w:r w:rsidRPr="00741E0C">
        <w:rPr>
          <w:rFonts w:ascii="Times New Roman" w:hAnsi="Times New Roman" w:cs="Times New Roman"/>
          <w:bCs/>
          <w:sz w:val="24"/>
          <w:szCs w:val="24"/>
        </w:rPr>
        <w:t xml:space="preserve"> to expand in the world.</w:t>
      </w:r>
    </w:p>
    <w:p w:rsidR="0011441E" w:rsidRDefault="0011441E" w:rsidP="0032614A">
      <w:pPr>
        <w:spacing w:line="360" w:lineRule="auto"/>
        <w:jc w:val="both"/>
        <w:rPr>
          <w:rFonts w:ascii="Times New Roman" w:hAnsi="Times New Roman" w:cs="Times New Roman"/>
          <w:b/>
          <w:bCs/>
          <w:sz w:val="28"/>
          <w:szCs w:val="28"/>
        </w:rPr>
      </w:pPr>
      <w:r w:rsidRPr="00C97149">
        <w:rPr>
          <w:rFonts w:ascii="Times New Roman" w:hAnsi="Times New Roman" w:cs="Times New Roman"/>
          <w:b/>
          <w:bCs/>
          <w:sz w:val="28"/>
          <w:szCs w:val="28"/>
        </w:rPr>
        <w:t>KEYWORDS: Financial performance, Profitability, Liquidity,</w:t>
      </w:r>
      <w:r>
        <w:rPr>
          <w:rFonts w:ascii="Times New Roman" w:hAnsi="Times New Roman" w:cs="Times New Roman"/>
          <w:b/>
          <w:bCs/>
          <w:sz w:val="28"/>
          <w:szCs w:val="28"/>
        </w:rPr>
        <w:t xml:space="preserve"> Solvency</w:t>
      </w:r>
      <w:r w:rsidR="00B20820">
        <w:rPr>
          <w:rFonts w:ascii="Times New Roman" w:hAnsi="Times New Roman" w:cs="Times New Roman"/>
          <w:b/>
          <w:bCs/>
          <w:sz w:val="28"/>
          <w:szCs w:val="28"/>
        </w:rPr>
        <w:t xml:space="preserve">, </w:t>
      </w:r>
      <w:r w:rsidRPr="00C97149">
        <w:rPr>
          <w:rFonts w:ascii="Times New Roman" w:hAnsi="Times New Roman" w:cs="Times New Roman"/>
          <w:b/>
          <w:bCs/>
          <w:sz w:val="28"/>
          <w:szCs w:val="28"/>
        </w:rPr>
        <w:t>Trend Analysis</w:t>
      </w:r>
    </w:p>
    <w:p w:rsidR="0011441E" w:rsidRDefault="0011441E" w:rsidP="0032614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rsidR="0011441E" w:rsidRPr="00A35292" w:rsidRDefault="0011441E" w:rsidP="0032614A">
      <w:pPr>
        <w:spacing w:line="360" w:lineRule="auto"/>
        <w:jc w:val="both"/>
        <w:rPr>
          <w:rFonts w:ascii="Times New Roman" w:hAnsi="Times New Roman" w:cs="Times New Roman"/>
          <w:sz w:val="24"/>
          <w:szCs w:val="24"/>
        </w:rPr>
      </w:pPr>
      <w:r w:rsidRPr="00A35292">
        <w:rPr>
          <w:rFonts w:ascii="Times New Roman" w:hAnsi="Times New Roman" w:cs="Times New Roman"/>
          <w:sz w:val="24"/>
          <w:szCs w:val="24"/>
        </w:rPr>
        <w:t xml:space="preserve">One of the main objectives of financial sector reform presently underway in India is to raise completion in the domestic financial system in order to achieve higher efficiency in saving mobilization, credit allocation and in the provision of host of financial services which have an infrastructural role in supporting the develop of economy. Thus the performance of the financial system plays </w:t>
      </w:r>
      <w:proofErr w:type="spellStart"/>
      <w:proofErr w:type="gramStart"/>
      <w:r w:rsidRPr="00A35292">
        <w:rPr>
          <w:rFonts w:ascii="Times New Roman" w:hAnsi="Times New Roman" w:cs="Times New Roman"/>
          <w:sz w:val="24"/>
          <w:szCs w:val="24"/>
        </w:rPr>
        <w:t>a</w:t>
      </w:r>
      <w:proofErr w:type="spellEnd"/>
      <w:proofErr w:type="gramEnd"/>
      <w:r w:rsidRPr="00A35292">
        <w:rPr>
          <w:rFonts w:ascii="Times New Roman" w:hAnsi="Times New Roman" w:cs="Times New Roman"/>
          <w:sz w:val="24"/>
          <w:szCs w:val="24"/>
        </w:rPr>
        <w:t xml:space="preserve"> important role in the overall growth process. While India’s financial sector and particulars, the domestic banking system has contributed to significant financial depending of the economy. Its performance has been the focus of both policy and academic concern. In the wake of progressive deregulation of the policy regime and the developing degree of financial autonomy growth upon a predominately publicity owned banking system, considerable emphasis is situated on the profitability of the banking system with implication for the efficient of financial intermediation in the emerging scenario.</w:t>
      </w:r>
    </w:p>
    <w:p w:rsidR="0011441E" w:rsidRDefault="0011441E" w:rsidP="0032614A">
      <w:pPr>
        <w:spacing w:line="360" w:lineRule="auto"/>
        <w:jc w:val="both"/>
        <w:rPr>
          <w:rFonts w:ascii="Times New Roman" w:hAnsi="Times New Roman" w:cs="Times New Roman"/>
          <w:bCs/>
          <w:sz w:val="28"/>
          <w:szCs w:val="28"/>
        </w:rPr>
      </w:pPr>
    </w:p>
    <w:p w:rsidR="00B92967" w:rsidRDefault="00B92967" w:rsidP="0032614A">
      <w:pPr>
        <w:spacing w:line="360" w:lineRule="auto"/>
        <w:jc w:val="both"/>
        <w:rPr>
          <w:rFonts w:ascii="Times New Roman" w:hAnsi="Times New Roman" w:cs="Times New Roman"/>
          <w:b/>
          <w:sz w:val="28"/>
          <w:szCs w:val="28"/>
        </w:rPr>
      </w:pPr>
    </w:p>
    <w:p w:rsidR="00B92967" w:rsidRDefault="00B92967" w:rsidP="0032614A">
      <w:pPr>
        <w:spacing w:line="360" w:lineRule="auto"/>
        <w:jc w:val="both"/>
        <w:rPr>
          <w:rFonts w:ascii="Times New Roman" w:hAnsi="Times New Roman" w:cs="Times New Roman"/>
          <w:b/>
          <w:sz w:val="28"/>
          <w:szCs w:val="28"/>
        </w:rPr>
      </w:pPr>
    </w:p>
    <w:p w:rsidR="0011441E" w:rsidRPr="005D429D" w:rsidRDefault="0011441E" w:rsidP="0032614A">
      <w:pPr>
        <w:spacing w:line="360" w:lineRule="auto"/>
        <w:jc w:val="both"/>
        <w:rPr>
          <w:rFonts w:ascii="Times New Roman" w:hAnsi="Times New Roman" w:cs="Times New Roman"/>
          <w:b/>
          <w:sz w:val="28"/>
          <w:szCs w:val="28"/>
        </w:rPr>
      </w:pPr>
      <w:r w:rsidRPr="005D429D">
        <w:rPr>
          <w:rFonts w:ascii="Times New Roman" w:hAnsi="Times New Roman" w:cs="Times New Roman"/>
          <w:b/>
          <w:sz w:val="28"/>
          <w:szCs w:val="28"/>
        </w:rPr>
        <w:lastRenderedPageBreak/>
        <w:t>STATEMENT OF PROBLEM</w:t>
      </w:r>
    </w:p>
    <w:p w:rsidR="0011441E" w:rsidRPr="005D429D" w:rsidRDefault="0011441E" w:rsidP="0032614A">
      <w:pPr>
        <w:spacing w:line="360" w:lineRule="auto"/>
        <w:jc w:val="both"/>
        <w:rPr>
          <w:rFonts w:ascii="Times New Roman" w:hAnsi="Times New Roman" w:cs="Times New Roman"/>
          <w:sz w:val="24"/>
          <w:szCs w:val="24"/>
        </w:rPr>
      </w:pPr>
      <w:r w:rsidRPr="005D429D">
        <w:rPr>
          <w:rFonts w:ascii="Times New Roman" w:hAnsi="Times New Roman" w:cs="Times New Roman"/>
          <w:sz w:val="24"/>
          <w:szCs w:val="24"/>
        </w:rPr>
        <w:t xml:space="preserve">This means banks in India, being on commercial lines, has to make profits (Profitability) to satisfy their shareholders, but at the same time satisfy the withdrawal needs of the customers (Liquidity). In fact, the objectives of profit maximization withdrawal needs of the customers contradict each other and work in opposite direction. Hence, a proper balance has to be struck by the banks between liquidity and profitability. This calls for a good portfolio management on part of the banks. The current study has been undertaken to </w:t>
      </w:r>
      <w:proofErr w:type="spellStart"/>
      <w:r w:rsidRPr="005D429D">
        <w:rPr>
          <w:rFonts w:ascii="Times New Roman" w:hAnsi="Times New Roman" w:cs="Times New Roman"/>
          <w:sz w:val="24"/>
          <w:szCs w:val="24"/>
        </w:rPr>
        <w:t>analyse</w:t>
      </w:r>
      <w:proofErr w:type="spellEnd"/>
      <w:r w:rsidRPr="005D429D">
        <w:rPr>
          <w:rFonts w:ascii="Times New Roman" w:hAnsi="Times New Roman" w:cs="Times New Roman"/>
          <w:sz w:val="24"/>
          <w:szCs w:val="24"/>
        </w:rPr>
        <w:t xml:space="preserve"> the liquidity position of selected private sector banks in India in the light of various reforms carried out in India and also factors explaining the performance of selected private sector banks using different ratios </w:t>
      </w:r>
    </w:p>
    <w:p w:rsidR="0011441E" w:rsidRDefault="0011441E" w:rsidP="0032614A">
      <w:pPr>
        <w:spacing w:line="360" w:lineRule="auto"/>
        <w:jc w:val="both"/>
        <w:rPr>
          <w:rFonts w:ascii="Times New Roman" w:hAnsi="Times New Roman" w:cs="Times New Roman"/>
          <w:b/>
          <w:sz w:val="28"/>
          <w:szCs w:val="28"/>
        </w:rPr>
      </w:pPr>
      <w:r w:rsidRPr="008B0823">
        <w:rPr>
          <w:rFonts w:ascii="Times New Roman" w:hAnsi="Times New Roman" w:cs="Times New Roman"/>
          <w:b/>
          <w:sz w:val="28"/>
          <w:szCs w:val="28"/>
        </w:rPr>
        <w:t>OBJECTIVES OF THE STUDY</w:t>
      </w:r>
    </w:p>
    <w:p w:rsidR="0011441E" w:rsidRDefault="0011441E" w:rsidP="0032614A">
      <w:pPr>
        <w:pStyle w:val="ListParagraph"/>
        <w:numPr>
          <w:ilvl w:val="0"/>
          <w:numId w:val="1"/>
        </w:numPr>
        <w:spacing w:line="360" w:lineRule="auto"/>
        <w:jc w:val="both"/>
        <w:rPr>
          <w:rFonts w:ascii="Times New Roman" w:hAnsi="Times New Roman" w:cs="Times New Roman"/>
          <w:sz w:val="24"/>
          <w:szCs w:val="24"/>
          <w:lang w:val="en-US"/>
        </w:rPr>
      </w:pPr>
      <w:r w:rsidRPr="00BA40C2">
        <w:rPr>
          <w:rFonts w:ascii="Times New Roman" w:hAnsi="Times New Roman" w:cs="Times New Roman"/>
          <w:sz w:val="24"/>
          <w:szCs w:val="24"/>
          <w:lang w:val="en-US"/>
        </w:rPr>
        <w:t>To evaluate the liquidity position of t</w:t>
      </w:r>
      <w:r>
        <w:rPr>
          <w:rFonts w:ascii="Times New Roman" w:hAnsi="Times New Roman" w:cs="Times New Roman"/>
          <w:sz w:val="24"/>
          <w:szCs w:val="24"/>
          <w:lang w:val="en-US"/>
        </w:rPr>
        <w:t>he selected bank</w:t>
      </w:r>
    </w:p>
    <w:p w:rsidR="0011441E" w:rsidRDefault="0011441E" w:rsidP="0032614A">
      <w:pPr>
        <w:pStyle w:val="ListParagraph"/>
        <w:numPr>
          <w:ilvl w:val="0"/>
          <w:numId w:val="1"/>
        </w:num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To evaluate the profitability position of the selected bank</w:t>
      </w:r>
    </w:p>
    <w:p w:rsidR="0011441E" w:rsidRPr="005D429D" w:rsidRDefault="0011441E" w:rsidP="0032614A">
      <w:pPr>
        <w:pStyle w:val="ListParagraph"/>
        <w:numPr>
          <w:ilvl w:val="0"/>
          <w:numId w:val="1"/>
        </w:numPr>
        <w:spacing w:line="360" w:lineRule="auto"/>
        <w:jc w:val="both"/>
        <w:rPr>
          <w:rFonts w:ascii="Times New Roman" w:hAnsi="Times New Roman" w:cs="Times New Roman"/>
          <w:b/>
          <w:sz w:val="24"/>
          <w:szCs w:val="24"/>
          <w:lang w:val="en-US"/>
        </w:rPr>
      </w:pPr>
      <w:r w:rsidRPr="00442370">
        <w:rPr>
          <w:rFonts w:ascii="Times New Roman" w:hAnsi="Times New Roman" w:cs="Times New Roman"/>
          <w:sz w:val="24"/>
          <w:szCs w:val="24"/>
          <w:lang w:val="en-US"/>
        </w:rPr>
        <w:t>To offer suitable suggestions for improving performance of the bank</w:t>
      </w:r>
      <w:r>
        <w:rPr>
          <w:rFonts w:ascii="Times New Roman" w:hAnsi="Times New Roman" w:cs="Times New Roman"/>
          <w:sz w:val="24"/>
          <w:szCs w:val="24"/>
          <w:lang w:val="en-US"/>
        </w:rPr>
        <w:t>.</w:t>
      </w:r>
    </w:p>
    <w:p w:rsidR="0011441E" w:rsidRDefault="0011441E" w:rsidP="0032614A">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RESEARCH METHODOLOGY</w:t>
      </w:r>
    </w:p>
    <w:p w:rsidR="0011441E" w:rsidRDefault="0011441E" w:rsidP="0032614A">
      <w:pPr>
        <w:spacing w:line="360" w:lineRule="auto"/>
        <w:jc w:val="both"/>
        <w:rPr>
          <w:rFonts w:ascii="Times New Roman" w:hAnsi="Times New Roman" w:cs="Times New Roman"/>
          <w:b/>
          <w:sz w:val="28"/>
          <w:szCs w:val="28"/>
        </w:rPr>
      </w:pPr>
      <w:r w:rsidRPr="00432BED">
        <w:rPr>
          <w:rFonts w:ascii="Times New Roman" w:hAnsi="Times New Roman" w:cs="Times New Roman"/>
          <w:b/>
          <w:sz w:val="28"/>
          <w:szCs w:val="28"/>
        </w:rPr>
        <w:t>RESEARCH DESIGN</w:t>
      </w:r>
    </w:p>
    <w:p w:rsidR="0011441E" w:rsidRDefault="0011441E" w:rsidP="0032614A">
      <w:pPr>
        <w:pStyle w:val="NormalWeb"/>
        <w:spacing w:line="360" w:lineRule="auto"/>
        <w:ind w:right="-90"/>
        <w:jc w:val="both"/>
      </w:pPr>
      <w:r w:rsidRPr="007F1864">
        <w:t xml:space="preserve">The annual accounts from </w:t>
      </w:r>
      <w:r>
        <w:t>2017-2018</w:t>
      </w:r>
      <w:r w:rsidRPr="007F1864">
        <w:t xml:space="preserve"> to </w:t>
      </w:r>
      <w:r>
        <w:t>2021-2022</w:t>
      </w:r>
      <w:r w:rsidRPr="007F1864">
        <w:t xml:space="preserve"> of the selected sample unit from the basis of data for the study. The research also collected other required information through journals and through website. The financial data of the </w:t>
      </w:r>
      <w:r>
        <w:t xml:space="preserve">HDFC and </w:t>
      </w:r>
      <w:proofErr w:type="spellStart"/>
      <w:r>
        <w:t>Kotak</w:t>
      </w:r>
      <w:proofErr w:type="spellEnd"/>
      <w:r>
        <w:t xml:space="preserve"> </w:t>
      </w:r>
      <w:proofErr w:type="spellStart"/>
      <w:r>
        <w:t>mahindra</w:t>
      </w:r>
      <w:proofErr w:type="spellEnd"/>
      <w:r>
        <w:t xml:space="preserve"> bank</w:t>
      </w:r>
      <w:r w:rsidRPr="007F1864">
        <w:t xml:space="preserve">, for the five years is analyzed by adopting statistical techniques like arithmetic mean and correction analysis and also with the help of ratio analysis. </w:t>
      </w:r>
    </w:p>
    <w:p w:rsidR="0011441E" w:rsidRDefault="0011441E" w:rsidP="0032614A">
      <w:pPr>
        <w:spacing w:line="360" w:lineRule="auto"/>
        <w:jc w:val="both"/>
        <w:rPr>
          <w:rFonts w:ascii="Times New Roman" w:hAnsi="Times New Roman" w:cs="Times New Roman"/>
          <w:b/>
          <w:sz w:val="28"/>
          <w:szCs w:val="28"/>
        </w:rPr>
      </w:pPr>
      <w:r>
        <w:rPr>
          <w:rFonts w:ascii="Times New Roman" w:hAnsi="Times New Roman" w:cs="Times New Roman"/>
          <w:b/>
          <w:sz w:val="28"/>
          <w:szCs w:val="28"/>
        </w:rPr>
        <w:t>RATIO ANALYSIS</w:t>
      </w:r>
    </w:p>
    <w:p w:rsidR="0011441E" w:rsidRDefault="0011441E" w:rsidP="0032614A">
      <w:pPr>
        <w:spacing w:line="360" w:lineRule="auto"/>
        <w:jc w:val="both"/>
        <w:rPr>
          <w:rFonts w:ascii="Times New Roman" w:hAnsi="Times New Roman" w:cs="Times New Roman"/>
          <w:sz w:val="24"/>
          <w:szCs w:val="24"/>
        </w:rPr>
      </w:pPr>
      <w:r w:rsidRPr="00E5690F">
        <w:rPr>
          <w:rFonts w:ascii="Times New Roman" w:hAnsi="Times New Roman" w:cs="Times New Roman"/>
          <w:sz w:val="24"/>
          <w:szCs w:val="24"/>
        </w:rPr>
        <w:t>.</w:t>
      </w:r>
      <w:r>
        <w:rPr>
          <w:rFonts w:ascii="Times New Roman" w:hAnsi="Times New Roman" w:cs="Times New Roman"/>
          <w:sz w:val="24"/>
          <w:szCs w:val="24"/>
        </w:rPr>
        <w:t xml:space="preserve">Ratio analysis is referred to as the study or analysis of the line items present in the financial statements. It can be used to check various factors of a business such as profitability, liquidity, solvency and effectiveness. The analysts very much rely on the current and past financial statements in order to obtain important data for </w:t>
      </w:r>
      <w:proofErr w:type="spellStart"/>
      <w:r>
        <w:rPr>
          <w:rFonts w:ascii="Times New Roman" w:hAnsi="Times New Roman" w:cs="Times New Roman"/>
          <w:sz w:val="24"/>
          <w:szCs w:val="24"/>
        </w:rPr>
        <w:t>analysing</w:t>
      </w:r>
      <w:proofErr w:type="spellEnd"/>
      <w:r>
        <w:rPr>
          <w:rFonts w:ascii="Times New Roman" w:hAnsi="Times New Roman" w:cs="Times New Roman"/>
          <w:sz w:val="24"/>
          <w:szCs w:val="24"/>
        </w:rPr>
        <w:t xml:space="preserve"> financial performance of the company. The data or information thus obtained during the analysis is helpful in determining whether the financial position of a company is improving or deteriorating.</w:t>
      </w:r>
    </w:p>
    <w:p w:rsidR="004C5286" w:rsidRDefault="004C5286" w:rsidP="004C5286">
      <w:pPr>
        <w:spacing w:line="360" w:lineRule="auto"/>
        <w:jc w:val="both"/>
        <w:rPr>
          <w:rFonts w:ascii="Times New Roman" w:hAnsi="Times New Roman" w:cs="Times New Roman"/>
          <w:sz w:val="24"/>
          <w:szCs w:val="24"/>
        </w:rPr>
      </w:pPr>
    </w:p>
    <w:p w:rsidR="004C5286" w:rsidRDefault="004C5286" w:rsidP="0032614A">
      <w:pPr>
        <w:spacing w:line="360" w:lineRule="auto"/>
        <w:jc w:val="both"/>
        <w:rPr>
          <w:rFonts w:ascii="Times New Roman" w:hAnsi="Times New Roman" w:cs="Times New Roman"/>
          <w:b/>
          <w:sz w:val="24"/>
          <w:szCs w:val="24"/>
        </w:rPr>
      </w:pPr>
      <w:r w:rsidRPr="004C5286">
        <w:rPr>
          <w:rFonts w:ascii="Times New Roman" w:hAnsi="Times New Roman" w:cs="Times New Roman"/>
          <w:b/>
          <w:sz w:val="24"/>
          <w:szCs w:val="24"/>
        </w:rPr>
        <w:lastRenderedPageBreak/>
        <w:t>REVIEW OF LITERATURE</w:t>
      </w:r>
    </w:p>
    <w:p w:rsidR="004C5286" w:rsidRDefault="004C5286" w:rsidP="0032614A">
      <w:pPr>
        <w:spacing w:line="360" w:lineRule="auto"/>
        <w:jc w:val="both"/>
        <w:rPr>
          <w:rFonts w:ascii="Times New Roman" w:hAnsi="Times New Roman" w:cs="Times New Roman"/>
          <w:sz w:val="24"/>
          <w:szCs w:val="24"/>
        </w:rPr>
      </w:pPr>
      <w:proofErr w:type="spellStart"/>
      <w:r w:rsidRPr="00454F47">
        <w:rPr>
          <w:rFonts w:ascii="Times New Roman" w:hAnsi="Times New Roman" w:cs="Times New Roman"/>
          <w:b/>
          <w:sz w:val="24"/>
          <w:szCs w:val="24"/>
        </w:rPr>
        <w:t>Hetal</w:t>
      </w:r>
      <w:proofErr w:type="spellEnd"/>
      <w:r w:rsidRPr="00454F47">
        <w:rPr>
          <w:rFonts w:ascii="Times New Roman" w:hAnsi="Times New Roman" w:cs="Times New Roman"/>
          <w:b/>
          <w:sz w:val="24"/>
          <w:szCs w:val="24"/>
        </w:rPr>
        <w:t xml:space="preserve"> K Solanki (2022), “Impact  of  Bank Specific  Variables  on  Financial Performance  of  Private  Sector  Banks  in India”,</w:t>
      </w:r>
      <w:r w:rsidRPr="00454F47">
        <w:rPr>
          <w:rFonts w:ascii="Times New Roman" w:hAnsi="Times New Roman" w:cs="Times New Roman"/>
          <w:sz w:val="24"/>
          <w:szCs w:val="24"/>
        </w:rPr>
        <w:t xml:space="preserve"> six private banks were used in their study on the effects of particular variables on the profitability of chosen private sector banks from 2009 to 2020. Regression analysis is used to </w:t>
      </w:r>
      <w:proofErr w:type="spellStart"/>
      <w:r w:rsidRPr="00454F47">
        <w:rPr>
          <w:rFonts w:ascii="Times New Roman" w:hAnsi="Times New Roman" w:cs="Times New Roman"/>
          <w:sz w:val="24"/>
          <w:szCs w:val="24"/>
        </w:rPr>
        <w:t>analyse</w:t>
      </w:r>
      <w:proofErr w:type="spellEnd"/>
      <w:r w:rsidRPr="00454F47">
        <w:rPr>
          <w:rFonts w:ascii="Times New Roman" w:hAnsi="Times New Roman" w:cs="Times New Roman"/>
          <w:sz w:val="24"/>
          <w:szCs w:val="24"/>
        </w:rPr>
        <w:t xml:space="preserve"> every variable, including Return on Assets, Return on Equity, Net Interest Margin, and others.</w:t>
      </w:r>
      <w:r w:rsidRPr="004C5286">
        <w:rPr>
          <w:rFonts w:ascii="Times New Roman" w:hAnsi="Times New Roman" w:cs="Times New Roman"/>
          <w:sz w:val="24"/>
          <w:szCs w:val="24"/>
        </w:rPr>
        <w:t xml:space="preserve"> </w:t>
      </w:r>
      <w:r w:rsidRPr="00454F47">
        <w:rPr>
          <w:rFonts w:ascii="Times New Roman" w:hAnsi="Times New Roman" w:cs="Times New Roman"/>
          <w:sz w:val="24"/>
          <w:szCs w:val="24"/>
        </w:rPr>
        <w:t>It has been discovered that liquidity risk is greater and has a detrimental effect on a number of factors, including private banks' profitability.</w:t>
      </w:r>
    </w:p>
    <w:p w:rsidR="004C5286" w:rsidRDefault="004C5286" w:rsidP="0032614A">
      <w:pPr>
        <w:spacing w:line="360" w:lineRule="auto"/>
        <w:jc w:val="both"/>
        <w:rPr>
          <w:rFonts w:ascii="Times New Roman" w:hAnsi="Times New Roman" w:cs="Times New Roman"/>
          <w:sz w:val="24"/>
          <w:szCs w:val="24"/>
        </w:rPr>
      </w:pPr>
      <w:r w:rsidRPr="00454F47">
        <w:rPr>
          <w:rFonts w:ascii="Times New Roman" w:hAnsi="Times New Roman" w:cs="Times New Roman"/>
          <w:b/>
          <w:sz w:val="24"/>
          <w:szCs w:val="24"/>
        </w:rPr>
        <w:t>N.</w:t>
      </w:r>
      <w:r w:rsidRPr="00454F47">
        <w:rPr>
          <w:rFonts w:ascii="Times New Roman" w:hAnsi="Times New Roman" w:cs="Times New Roman"/>
          <w:b/>
          <w:spacing w:val="1"/>
          <w:sz w:val="24"/>
          <w:szCs w:val="24"/>
        </w:rPr>
        <w:t xml:space="preserve"> </w:t>
      </w:r>
      <w:proofErr w:type="spellStart"/>
      <w:r w:rsidRPr="00454F47">
        <w:rPr>
          <w:rFonts w:ascii="Times New Roman" w:hAnsi="Times New Roman" w:cs="Times New Roman"/>
          <w:b/>
          <w:sz w:val="24"/>
          <w:szCs w:val="24"/>
        </w:rPr>
        <w:t>Sathiya</w:t>
      </w:r>
      <w:proofErr w:type="spellEnd"/>
      <w:r w:rsidRPr="00454F47">
        <w:rPr>
          <w:rFonts w:ascii="Times New Roman" w:hAnsi="Times New Roman" w:cs="Times New Roman"/>
          <w:b/>
          <w:spacing w:val="1"/>
          <w:sz w:val="24"/>
          <w:szCs w:val="24"/>
        </w:rPr>
        <w:t xml:space="preserve"> </w:t>
      </w:r>
      <w:r w:rsidRPr="00454F47">
        <w:rPr>
          <w:rFonts w:ascii="Times New Roman" w:hAnsi="Times New Roman" w:cs="Times New Roman"/>
          <w:b/>
          <w:sz w:val="24"/>
          <w:szCs w:val="24"/>
        </w:rPr>
        <w:t>&amp;</w:t>
      </w:r>
      <w:r w:rsidRPr="00454F47">
        <w:rPr>
          <w:rFonts w:ascii="Times New Roman" w:hAnsi="Times New Roman" w:cs="Times New Roman"/>
          <w:b/>
          <w:spacing w:val="1"/>
          <w:sz w:val="24"/>
          <w:szCs w:val="24"/>
        </w:rPr>
        <w:t xml:space="preserve"> </w:t>
      </w:r>
      <w:proofErr w:type="spellStart"/>
      <w:r w:rsidRPr="00454F47">
        <w:rPr>
          <w:rFonts w:ascii="Times New Roman" w:hAnsi="Times New Roman" w:cs="Times New Roman"/>
          <w:b/>
          <w:sz w:val="24"/>
          <w:szCs w:val="24"/>
        </w:rPr>
        <w:t>S.Sangeetha</w:t>
      </w:r>
      <w:proofErr w:type="spellEnd"/>
      <w:r w:rsidRPr="00454F47">
        <w:rPr>
          <w:rFonts w:ascii="Times New Roman" w:hAnsi="Times New Roman" w:cs="Times New Roman"/>
          <w:b/>
          <w:sz w:val="24"/>
          <w:szCs w:val="24"/>
        </w:rPr>
        <w:t xml:space="preserve"> (2021), “</w:t>
      </w:r>
      <w:r w:rsidRPr="00454F47">
        <w:rPr>
          <w:rFonts w:ascii="Times New Roman" w:hAnsi="Times New Roman" w:cs="Times New Roman"/>
          <w:b/>
          <w:spacing w:val="-1"/>
          <w:sz w:val="24"/>
          <w:szCs w:val="24"/>
        </w:rPr>
        <w:t>Financial</w:t>
      </w:r>
      <w:r w:rsidRPr="00454F47">
        <w:rPr>
          <w:rFonts w:ascii="Times New Roman" w:hAnsi="Times New Roman" w:cs="Times New Roman"/>
          <w:b/>
          <w:spacing w:val="-53"/>
          <w:sz w:val="24"/>
          <w:szCs w:val="24"/>
        </w:rPr>
        <w:t xml:space="preserve"> </w:t>
      </w:r>
      <w:r w:rsidRPr="00454F47">
        <w:rPr>
          <w:rFonts w:ascii="Times New Roman" w:hAnsi="Times New Roman" w:cs="Times New Roman"/>
          <w:b/>
          <w:sz w:val="24"/>
          <w:szCs w:val="24"/>
        </w:rPr>
        <w:t>performance</w:t>
      </w:r>
      <w:r w:rsidRPr="00454F47">
        <w:rPr>
          <w:rFonts w:ascii="Times New Roman" w:hAnsi="Times New Roman" w:cs="Times New Roman"/>
          <w:b/>
          <w:spacing w:val="9"/>
          <w:sz w:val="24"/>
          <w:szCs w:val="24"/>
        </w:rPr>
        <w:t xml:space="preserve"> </w:t>
      </w:r>
      <w:r w:rsidRPr="00454F47">
        <w:rPr>
          <w:rFonts w:ascii="Times New Roman" w:hAnsi="Times New Roman" w:cs="Times New Roman"/>
          <w:b/>
          <w:sz w:val="24"/>
          <w:szCs w:val="24"/>
        </w:rPr>
        <w:t>of</w:t>
      </w:r>
      <w:r w:rsidRPr="00454F47">
        <w:rPr>
          <w:rFonts w:ascii="Times New Roman" w:hAnsi="Times New Roman" w:cs="Times New Roman"/>
          <w:b/>
          <w:spacing w:val="10"/>
          <w:sz w:val="24"/>
          <w:szCs w:val="24"/>
        </w:rPr>
        <w:t xml:space="preserve"> </w:t>
      </w:r>
      <w:r w:rsidRPr="00454F47">
        <w:rPr>
          <w:rFonts w:ascii="Times New Roman" w:hAnsi="Times New Roman" w:cs="Times New Roman"/>
          <w:b/>
          <w:sz w:val="24"/>
          <w:szCs w:val="24"/>
        </w:rPr>
        <w:t>selected</w:t>
      </w:r>
      <w:r w:rsidRPr="00454F47">
        <w:rPr>
          <w:rFonts w:ascii="Times New Roman" w:hAnsi="Times New Roman" w:cs="Times New Roman"/>
          <w:b/>
          <w:spacing w:val="10"/>
          <w:sz w:val="24"/>
          <w:szCs w:val="24"/>
        </w:rPr>
        <w:t xml:space="preserve"> </w:t>
      </w:r>
      <w:r w:rsidRPr="00454F47">
        <w:rPr>
          <w:rFonts w:ascii="Times New Roman" w:hAnsi="Times New Roman" w:cs="Times New Roman"/>
          <w:b/>
          <w:sz w:val="24"/>
          <w:szCs w:val="24"/>
        </w:rPr>
        <w:t>public</w:t>
      </w:r>
      <w:r w:rsidRPr="00454F47">
        <w:rPr>
          <w:rFonts w:ascii="Times New Roman" w:hAnsi="Times New Roman" w:cs="Times New Roman"/>
          <w:b/>
          <w:spacing w:val="10"/>
          <w:sz w:val="24"/>
          <w:szCs w:val="24"/>
        </w:rPr>
        <w:t xml:space="preserve"> </w:t>
      </w:r>
      <w:r w:rsidRPr="00454F47">
        <w:rPr>
          <w:rFonts w:ascii="Times New Roman" w:hAnsi="Times New Roman" w:cs="Times New Roman"/>
          <w:b/>
          <w:sz w:val="24"/>
          <w:szCs w:val="24"/>
        </w:rPr>
        <w:t>and</w:t>
      </w:r>
      <w:r w:rsidRPr="00454F47">
        <w:rPr>
          <w:rFonts w:ascii="Times New Roman" w:hAnsi="Times New Roman" w:cs="Times New Roman"/>
          <w:b/>
          <w:spacing w:val="9"/>
          <w:sz w:val="24"/>
          <w:szCs w:val="24"/>
        </w:rPr>
        <w:t xml:space="preserve"> </w:t>
      </w:r>
      <w:r w:rsidRPr="00454F47">
        <w:rPr>
          <w:rFonts w:ascii="Times New Roman" w:hAnsi="Times New Roman" w:cs="Times New Roman"/>
          <w:b/>
          <w:sz w:val="24"/>
          <w:szCs w:val="24"/>
        </w:rPr>
        <w:t>private</w:t>
      </w:r>
      <w:r w:rsidRPr="00454F47">
        <w:rPr>
          <w:rFonts w:ascii="Times New Roman" w:hAnsi="Times New Roman" w:cs="Times New Roman"/>
          <w:b/>
          <w:spacing w:val="-52"/>
          <w:sz w:val="24"/>
          <w:szCs w:val="24"/>
        </w:rPr>
        <w:t xml:space="preserve"> </w:t>
      </w:r>
      <w:r w:rsidRPr="00454F47">
        <w:rPr>
          <w:rFonts w:ascii="Times New Roman" w:hAnsi="Times New Roman" w:cs="Times New Roman"/>
          <w:b/>
          <w:sz w:val="24"/>
          <w:szCs w:val="24"/>
        </w:rPr>
        <w:t>sector</w:t>
      </w:r>
      <w:r w:rsidRPr="00454F47">
        <w:rPr>
          <w:rFonts w:ascii="Times New Roman" w:hAnsi="Times New Roman" w:cs="Times New Roman"/>
          <w:b/>
          <w:spacing w:val="3"/>
          <w:sz w:val="24"/>
          <w:szCs w:val="24"/>
        </w:rPr>
        <w:t xml:space="preserve"> </w:t>
      </w:r>
      <w:r w:rsidRPr="00454F47">
        <w:rPr>
          <w:rFonts w:ascii="Times New Roman" w:hAnsi="Times New Roman" w:cs="Times New Roman"/>
          <w:b/>
          <w:sz w:val="24"/>
          <w:szCs w:val="24"/>
        </w:rPr>
        <w:t>banks</w:t>
      </w:r>
      <w:r w:rsidRPr="00454F47">
        <w:rPr>
          <w:rFonts w:ascii="Times New Roman" w:hAnsi="Times New Roman" w:cs="Times New Roman"/>
          <w:b/>
          <w:spacing w:val="3"/>
          <w:sz w:val="24"/>
          <w:szCs w:val="24"/>
        </w:rPr>
        <w:t xml:space="preserve"> </w:t>
      </w:r>
      <w:r w:rsidRPr="00454F47">
        <w:rPr>
          <w:rFonts w:ascii="Times New Roman" w:hAnsi="Times New Roman" w:cs="Times New Roman"/>
          <w:b/>
          <w:sz w:val="24"/>
          <w:szCs w:val="24"/>
        </w:rPr>
        <w:t>In</w:t>
      </w:r>
      <w:r w:rsidRPr="00454F47">
        <w:rPr>
          <w:rFonts w:ascii="Times New Roman" w:hAnsi="Times New Roman" w:cs="Times New Roman"/>
          <w:b/>
          <w:spacing w:val="2"/>
          <w:sz w:val="24"/>
          <w:szCs w:val="24"/>
        </w:rPr>
        <w:t xml:space="preserve"> </w:t>
      </w:r>
      <w:r w:rsidRPr="00454F47">
        <w:rPr>
          <w:rFonts w:ascii="Times New Roman" w:hAnsi="Times New Roman" w:cs="Times New Roman"/>
          <w:b/>
          <w:sz w:val="24"/>
          <w:szCs w:val="24"/>
        </w:rPr>
        <w:t>India”,</w:t>
      </w:r>
      <w:r w:rsidRPr="00454F47">
        <w:rPr>
          <w:rFonts w:ascii="Times New Roman" w:hAnsi="Times New Roman" w:cs="Times New Roman"/>
          <w:sz w:val="24"/>
          <w:szCs w:val="24"/>
        </w:rPr>
        <w:t xml:space="preserve"> </w:t>
      </w:r>
      <w:proofErr w:type="spellStart"/>
      <w:r w:rsidRPr="00454F47">
        <w:rPr>
          <w:rFonts w:ascii="Times New Roman" w:hAnsi="Times New Roman" w:cs="Times New Roman"/>
          <w:sz w:val="24"/>
          <w:szCs w:val="24"/>
        </w:rPr>
        <w:t>analysed</w:t>
      </w:r>
      <w:proofErr w:type="spellEnd"/>
      <w:r w:rsidRPr="00454F47">
        <w:rPr>
          <w:rFonts w:ascii="Times New Roman" w:hAnsi="Times New Roman" w:cs="Times New Roman"/>
          <w:sz w:val="24"/>
          <w:szCs w:val="24"/>
        </w:rPr>
        <w:t xml:space="preserve"> the results of a set of five public and private sector banks between 2015 and 2019. Five important metrics, including Return on Assets, Total Income, Net Profit, Net Interest Income, and Operating Profits, are chosen for analysis.</w:t>
      </w:r>
    </w:p>
    <w:p w:rsidR="004C5286" w:rsidRDefault="004C5286" w:rsidP="0032614A">
      <w:pPr>
        <w:spacing w:line="360" w:lineRule="auto"/>
        <w:jc w:val="both"/>
        <w:rPr>
          <w:rFonts w:ascii="Times New Roman" w:hAnsi="Times New Roman" w:cs="Times New Roman"/>
          <w:sz w:val="24"/>
          <w:szCs w:val="24"/>
        </w:rPr>
      </w:pPr>
      <w:proofErr w:type="gramStart"/>
      <w:r w:rsidRPr="00454F47">
        <w:rPr>
          <w:rFonts w:ascii="Times New Roman" w:hAnsi="Times New Roman" w:cs="Times New Roman"/>
          <w:b/>
          <w:spacing w:val="-6"/>
          <w:sz w:val="24"/>
          <w:szCs w:val="24"/>
        </w:rPr>
        <w:t>Abdu  Mohammad</w:t>
      </w:r>
      <w:proofErr w:type="gramEnd"/>
      <w:r w:rsidRPr="00454F47">
        <w:rPr>
          <w:rFonts w:ascii="Times New Roman" w:hAnsi="Times New Roman" w:cs="Times New Roman"/>
          <w:b/>
          <w:spacing w:val="-6"/>
          <w:sz w:val="24"/>
          <w:szCs w:val="24"/>
        </w:rPr>
        <w:t xml:space="preserve">  </w:t>
      </w:r>
      <w:proofErr w:type="spellStart"/>
      <w:r w:rsidRPr="00454F47">
        <w:rPr>
          <w:rFonts w:ascii="Times New Roman" w:hAnsi="Times New Roman" w:cs="Times New Roman"/>
          <w:b/>
          <w:spacing w:val="-6"/>
          <w:sz w:val="24"/>
          <w:szCs w:val="24"/>
        </w:rPr>
        <w:t>Assfaw</w:t>
      </w:r>
      <w:proofErr w:type="spellEnd"/>
      <w:r w:rsidRPr="00454F47">
        <w:rPr>
          <w:rFonts w:ascii="Times New Roman" w:hAnsi="Times New Roman" w:cs="Times New Roman"/>
          <w:b/>
          <w:spacing w:val="-6"/>
          <w:sz w:val="24"/>
          <w:szCs w:val="24"/>
        </w:rPr>
        <w:t xml:space="preserve"> (2019),  “Firm-Specific  and  macroeconomic determinants of Banks Liquidity</w:t>
      </w:r>
      <w:r w:rsidRPr="00454F47">
        <w:rPr>
          <w:rFonts w:ascii="Times New Roman" w:hAnsi="Times New Roman" w:cs="Times New Roman"/>
          <w:b/>
          <w:sz w:val="24"/>
          <w:szCs w:val="24"/>
        </w:rPr>
        <w:t>”,</w:t>
      </w:r>
      <w:r w:rsidRPr="00454F47">
        <w:rPr>
          <w:rFonts w:ascii="Times New Roman" w:hAnsi="Times New Roman" w:cs="Times New Roman"/>
          <w:sz w:val="24"/>
          <w:szCs w:val="24"/>
        </w:rPr>
        <w:t xml:space="preserve"> aims to investigate the macroeconomic and firm-specific factors that could influence the liquidity position of private commercial banks in Ethiopia. A quantitative research strategy and an explanatory research design were used in this study. Eight carefully chosen private commercial banks' audited yearly financial reports were the source of secondary data used in the study.</w:t>
      </w:r>
    </w:p>
    <w:p w:rsidR="004C5286" w:rsidRDefault="004C5286" w:rsidP="0032614A">
      <w:pPr>
        <w:spacing w:line="360" w:lineRule="auto"/>
        <w:jc w:val="both"/>
        <w:rPr>
          <w:rFonts w:ascii="Times New Roman" w:hAnsi="Times New Roman" w:cs="Times New Roman"/>
          <w:sz w:val="24"/>
          <w:szCs w:val="24"/>
        </w:rPr>
      </w:pPr>
      <w:proofErr w:type="spellStart"/>
      <w:r w:rsidRPr="00454F47">
        <w:rPr>
          <w:rFonts w:ascii="Times New Roman" w:hAnsi="Times New Roman" w:cs="Times New Roman"/>
          <w:b/>
          <w:spacing w:val="-6"/>
          <w:sz w:val="24"/>
          <w:szCs w:val="24"/>
        </w:rPr>
        <w:t>Jyotirmoy</w:t>
      </w:r>
      <w:proofErr w:type="spellEnd"/>
      <w:r w:rsidRPr="00454F47">
        <w:rPr>
          <w:rFonts w:ascii="Times New Roman" w:hAnsi="Times New Roman" w:cs="Times New Roman"/>
          <w:b/>
          <w:spacing w:val="-6"/>
          <w:sz w:val="24"/>
          <w:szCs w:val="24"/>
        </w:rPr>
        <w:t xml:space="preserve"> </w:t>
      </w:r>
      <w:proofErr w:type="spellStart"/>
      <w:r w:rsidRPr="00454F47">
        <w:rPr>
          <w:rFonts w:ascii="Times New Roman" w:hAnsi="Times New Roman" w:cs="Times New Roman"/>
          <w:b/>
          <w:spacing w:val="-6"/>
          <w:sz w:val="24"/>
          <w:szCs w:val="24"/>
        </w:rPr>
        <w:t>Koley</w:t>
      </w:r>
      <w:proofErr w:type="spellEnd"/>
      <w:r w:rsidRPr="00454F47">
        <w:rPr>
          <w:rFonts w:ascii="Times New Roman" w:hAnsi="Times New Roman" w:cs="Times New Roman"/>
          <w:b/>
          <w:spacing w:val="-6"/>
          <w:sz w:val="24"/>
          <w:szCs w:val="24"/>
        </w:rPr>
        <w:t xml:space="preserve"> (2019),   “A Comparative Study on SBI and HDFC Bank</w:t>
      </w:r>
      <w:r w:rsidRPr="00454F47">
        <w:rPr>
          <w:rFonts w:ascii="Times New Roman" w:hAnsi="Times New Roman" w:cs="Times New Roman"/>
          <w:b/>
          <w:sz w:val="24"/>
          <w:szCs w:val="24"/>
        </w:rPr>
        <w:t>”,</w:t>
      </w:r>
      <w:r w:rsidRPr="00454F47">
        <w:rPr>
          <w:rFonts w:ascii="Times New Roman" w:hAnsi="Times New Roman" w:cs="Times New Roman"/>
          <w:b/>
          <w:position w:val="8"/>
          <w:sz w:val="24"/>
          <w:szCs w:val="24"/>
        </w:rPr>
        <w:t xml:space="preserve"> </w:t>
      </w:r>
      <w:proofErr w:type="spellStart"/>
      <w:r w:rsidRPr="00454F47">
        <w:rPr>
          <w:rFonts w:ascii="Times New Roman" w:hAnsi="Times New Roman" w:cs="Times New Roman"/>
          <w:sz w:val="24"/>
          <w:szCs w:val="24"/>
        </w:rPr>
        <w:t>analysed</w:t>
      </w:r>
      <w:proofErr w:type="spellEnd"/>
      <w:r w:rsidRPr="00454F47">
        <w:rPr>
          <w:rFonts w:ascii="Times New Roman" w:hAnsi="Times New Roman" w:cs="Times New Roman"/>
          <w:sz w:val="24"/>
          <w:szCs w:val="24"/>
        </w:rPr>
        <w:t xml:space="preserve"> the public sector banks' and private sector banks' financial standing and performance in India. The greatest public sector bank (SBI) and private sector bank's financial status, performance, and efficiency were measured in this study (HDFC). The study's foundation was secondary information obtained from the annual reports of the chosen institutions. The study covers the years 2013–2014 through 2017–2018, a five-year span.</w:t>
      </w:r>
    </w:p>
    <w:p w:rsidR="004C5286" w:rsidRPr="004C5286" w:rsidRDefault="004C5286" w:rsidP="0032614A">
      <w:pPr>
        <w:spacing w:line="360" w:lineRule="auto"/>
        <w:jc w:val="both"/>
        <w:rPr>
          <w:rFonts w:ascii="Times New Roman" w:hAnsi="Times New Roman" w:cs="Times New Roman"/>
          <w:b/>
          <w:sz w:val="24"/>
          <w:szCs w:val="24"/>
        </w:rPr>
      </w:pPr>
      <w:proofErr w:type="spellStart"/>
      <w:r w:rsidRPr="004C5286">
        <w:rPr>
          <w:rFonts w:ascii="Times New Roman" w:hAnsi="Times New Roman" w:cs="Times New Roman"/>
          <w:b/>
          <w:sz w:val="24"/>
          <w:szCs w:val="24"/>
        </w:rPr>
        <w:t>Priyanka</w:t>
      </w:r>
      <w:proofErr w:type="spellEnd"/>
      <w:r w:rsidRPr="004C5286">
        <w:rPr>
          <w:rFonts w:ascii="Times New Roman" w:hAnsi="Times New Roman" w:cs="Times New Roman"/>
          <w:b/>
          <w:spacing w:val="1"/>
          <w:sz w:val="24"/>
          <w:szCs w:val="24"/>
        </w:rPr>
        <w:t xml:space="preserve"> </w:t>
      </w:r>
      <w:proofErr w:type="spellStart"/>
      <w:proofErr w:type="gramStart"/>
      <w:r w:rsidRPr="004C5286">
        <w:rPr>
          <w:rFonts w:ascii="Times New Roman" w:hAnsi="Times New Roman" w:cs="Times New Roman"/>
          <w:b/>
          <w:sz w:val="24"/>
          <w:szCs w:val="24"/>
        </w:rPr>
        <w:t>Jha</w:t>
      </w:r>
      <w:proofErr w:type="spellEnd"/>
      <w:r w:rsidRPr="004C5286">
        <w:rPr>
          <w:rFonts w:ascii="Times New Roman" w:hAnsi="Times New Roman" w:cs="Times New Roman"/>
          <w:b/>
          <w:sz w:val="24"/>
          <w:szCs w:val="24"/>
        </w:rPr>
        <w:t>(</w:t>
      </w:r>
      <w:proofErr w:type="gramEnd"/>
      <w:r w:rsidRPr="004C5286">
        <w:rPr>
          <w:rFonts w:ascii="Times New Roman" w:hAnsi="Times New Roman" w:cs="Times New Roman"/>
          <w:b/>
          <w:sz w:val="24"/>
          <w:szCs w:val="24"/>
        </w:rPr>
        <w:t>2018),</w:t>
      </w:r>
      <w:r w:rsidRPr="004C5286">
        <w:rPr>
          <w:rFonts w:ascii="Times New Roman" w:hAnsi="Times New Roman" w:cs="Times New Roman"/>
          <w:b/>
          <w:spacing w:val="1"/>
          <w:position w:val="8"/>
          <w:sz w:val="24"/>
          <w:szCs w:val="24"/>
        </w:rPr>
        <w:t xml:space="preserve"> “</w:t>
      </w:r>
      <w:r w:rsidRPr="004C5286">
        <w:rPr>
          <w:rFonts w:ascii="Times New Roman" w:hAnsi="Times New Roman" w:cs="Times New Roman"/>
          <w:b/>
          <w:sz w:val="24"/>
          <w:szCs w:val="24"/>
        </w:rPr>
        <w:t>Analyzing financial performance (2011-2018) of public sector     banks (PNB)</w:t>
      </w:r>
      <w:r w:rsidRPr="004C5286">
        <w:rPr>
          <w:rFonts w:ascii="Times New Roman" w:hAnsi="Times New Roman" w:cs="Times New Roman"/>
          <w:b/>
          <w:spacing w:val="1"/>
          <w:sz w:val="24"/>
          <w:szCs w:val="24"/>
        </w:rPr>
        <w:t xml:space="preserve"> </w:t>
      </w:r>
      <w:r w:rsidRPr="004C5286">
        <w:rPr>
          <w:rFonts w:ascii="Times New Roman" w:hAnsi="Times New Roman" w:cs="Times New Roman"/>
          <w:b/>
          <w:sz w:val="24"/>
          <w:szCs w:val="24"/>
        </w:rPr>
        <w:t>and private sector banks (ICICI) in India”,</w:t>
      </w:r>
      <w:r w:rsidRPr="004C5286">
        <w:rPr>
          <w:rFonts w:ascii="Times New Roman" w:hAnsi="Times New Roman" w:cs="Times New Roman"/>
          <w:sz w:val="24"/>
          <w:szCs w:val="24"/>
        </w:rPr>
        <w:t xml:space="preserve"> made an effort to evaluate and contrast the financial results of one of India's largest private sector banks, ICICI, and public sector bank, PNB. The yearly financial reports of the individual banks were the source of the sample data, which was purely secondary in nature. This study's 7-year time frame covered the years 2011–12 through 2017–18.</w:t>
      </w:r>
    </w:p>
    <w:p w:rsidR="0011441E" w:rsidRDefault="0011441E" w:rsidP="0032614A">
      <w:pPr>
        <w:spacing w:line="360" w:lineRule="auto"/>
        <w:jc w:val="both"/>
        <w:rPr>
          <w:rFonts w:ascii="Times New Roman" w:hAnsi="Times New Roman" w:cs="Times New Roman"/>
          <w:b/>
          <w:bCs/>
          <w:sz w:val="28"/>
          <w:szCs w:val="28"/>
        </w:rPr>
      </w:pPr>
    </w:p>
    <w:p w:rsidR="004C5286" w:rsidRPr="004C5286" w:rsidRDefault="004C5286" w:rsidP="0032614A">
      <w:pPr>
        <w:spacing w:line="480" w:lineRule="auto"/>
        <w:jc w:val="both"/>
        <w:rPr>
          <w:rFonts w:ascii="Times New Roman" w:hAnsi="Times New Roman" w:cs="Times New Roman"/>
          <w:b/>
          <w:sz w:val="24"/>
          <w:szCs w:val="24"/>
        </w:rPr>
      </w:pPr>
      <w:r w:rsidRPr="004C5286">
        <w:rPr>
          <w:rFonts w:ascii="Times New Roman" w:hAnsi="Times New Roman" w:cs="Times New Roman"/>
          <w:b/>
          <w:sz w:val="24"/>
          <w:szCs w:val="24"/>
        </w:rPr>
        <w:lastRenderedPageBreak/>
        <w:t>DATA ANALYSIS AND INTERPRETATION</w:t>
      </w:r>
    </w:p>
    <w:p w:rsidR="004C5286" w:rsidRDefault="004C5286" w:rsidP="0032614A">
      <w:pPr>
        <w:spacing w:line="480" w:lineRule="auto"/>
        <w:jc w:val="both"/>
        <w:rPr>
          <w:rFonts w:ascii="Times New Roman" w:hAnsi="Times New Roman" w:cs="Times New Roman"/>
          <w:sz w:val="24"/>
          <w:szCs w:val="24"/>
        </w:rPr>
      </w:pPr>
      <w:r w:rsidRPr="004C5286">
        <w:rPr>
          <w:rFonts w:ascii="Times New Roman" w:hAnsi="Times New Roman" w:cs="Times New Roman"/>
          <w:sz w:val="24"/>
          <w:szCs w:val="24"/>
        </w:rPr>
        <w:t>Analysis and interpretation of financial statements are an attempt to determine the significance and meaning of the financial statement data so that a forecast may be made of the prospects for future earnings, ability to pay interest, debt maturities, both current as well as long term, and profitability of sound dividend policy.</w:t>
      </w:r>
    </w:p>
    <w:p w:rsidR="004C5286" w:rsidRDefault="004C5286" w:rsidP="0032614A">
      <w:pPr>
        <w:spacing w:line="360" w:lineRule="auto"/>
        <w:jc w:val="both"/>
        <w:rPr>
          <w:rFonts w:ascii="Times New Roman" w:hAnsi="Times New Roman" w:cs="Times New Roman"/>
          <w:b/>
          <w:sz w:val="28"/>
          <w:szCs w:val="28"/>
        </w:rPr>
      </w:pPr>
      <w:r w:rsidRPr="00BE50E3">
        <w:rPr>
          <w:rFonts w:ascii="Times New Roman" w:hAnsi="Times New Roman" w:cs="Times New Roman"/>
          <w:b/>
          <w:sz w:val="28"/>
          <w:szCs w:val="28"/>
        </w:rPr>
        <w:t>LIQUIDITY RATIO</w:t>
      </w:r>
    </w:p>
    <w:p w:rsidR="004C5286" w:rsidRPr="00361C4D" w:rsidRDefault="004C5286" w:rsidP="0032614A">
      <w:pPr>
        <w:pStyle w:val="NormalWeb"/>
        <w:spacing w:before="0" w:beforeAutospacing="0" w:after="200" w:afterAutospacing="0" w:line="360" w:lineRule="auto"/>
        <w:ind w:firstLine="720"/>
        <w:jc w:val="both"/>
      </w:pPr>
      <w:r w:rsidRPr="00361C4D">
        <w:t xml:space="preserve">Liquidity is measured through its ability to maintain positive cash flow, while satisfying immediate obligations. </w:t>
      </w:r>
      <w:r w:rsidRPr="00361C4D">
        <w:rPr>
          <w:iCs/>
        </w:rPr>
        <w:t>All are based on the bank's balance sheet, which indicates the financial condition of a business as of a given point in time.</w:t>
      </w:r>
    </w:p>
    <w:p w:rsidR="004C5286" w:rsidRPr="0005633D" w:rsidRDefault="004C5286" w:rsidP="0032614A">
      <w:pPr>
        <w:spacing w:line="360" w:lineRule="auto"/>
        <w:jc w:val="both"/>
        <w:rPr>
          <w:rFonts w:ascii="Times New Roman" w:hAnsi="Times New Roman" w:cs="Times New Roman"/>
          <w:b/>
          <w:sz w:val="24"/>
          <w:szCs w:val="24"/>
        </w:rPr>
      </w:pPr>
      <w:r w:rsidRPr="0005633D">
        <w:rPr>
          <w:rFonts w:ascii="Times New Roman" w:hAnsi="Times New Roman" w:cs="Times New Roman"/>
          <w:b/>
          <w:sz w:val="24"/>
          <w:szCs w:val="24"/>
        </w:rPr>
        <w:t>CURRENT RATIO</w:t>
      </w:r>
    </w:p>
    <w:p w:rsidR="004C5286" w:rsidRDefault="004C5286" w:rsidP="0032614A">
      <w:pPr>
        <w:spacing w:line="360" w:lineRule="auto"/>
        <w:jc w:val="both"/>
        <w:rPr>
          <w:rFonts w:ascii="Times New Roman" w:hAnsi="Times New Roman" w:cs="Times New Roman"/>
          <w:sz w:val="24"/>
          <w:szCs w:val="24"/>
        </w:rPr>
      </w:pPr>
      <w:r w:rsidRPr="00BE50E3">
        <w:rPr>
          <w:rFonts w:ascii="Times New Roman" w:hAnsi="Times New Roman" w:cs="Times New Roman"/>
          <w:sz w:val="24"/>
          <w:szCs w:val="24"/>
        </w:rPr>
        <w:t>The current ratio represents the ratio of current assets to current liabilities. Current ratio is the most common ratio for measuring liquidity. Current ratio is also known as working capital ratio</w:t>
      </w:r>
      <w:r>
        <w:rPr>
          <w:rFonts w:ascii="Times New Roman" w:hAnsi="Times New Roman" w:cs="Times New Roman"/>
          <w:sz w:val="24"/>
          <w:szCs w:val="24"/>
        </w:rPr>
        <w:t>.</w:t>
      </w:r>
    </w:p>
    <w:p w:rsidR="004C5286" w:rsidRDefault="004C5286" w:rsidP="004C5286">
      <w:pPr>
        <w:spacing w:line="360" w:lineRule="auto"/>
        <w:ind w:firstLine="360"/>
        <w:jc w:val="both"/>
        <w:rPr>
          <w:rStyle w:val="Emphasis"/>
          <w:rFonts w:ascii="Times New Roman" w:hAnsi="Times New Roman" w:cs="Times New Roman"/>
          <w:b/>
          <w:bCs/>
          <w:i w:val="0"/>
          <w:sz w:val="24"/>
          <w:szCs w:val="24"/>
          <w:shd w:val="clear" w:color="auto" w:fill="FFFFFF"/>
        </w:rPr>
      </w:pPr>
      <w:r w:rsidRPr="004C5286">
        <w:rPr>
          <w:rStyle w:val="Emphasis"/>
          <w:rFonts w:ascii="Times New Roman" w:hAnsi="Times New Roman" w:cs="Times New Roman"/>
          <w:b/>
          <w:bCs/>
          <w:i w:val="0"/>
          <w:sz w:val="24"/>
          <w:szCs w:val="24"/>
          <w:shd w:val="clear" w:color="auto" w:fill="FFFFFF"/>
        </w:rPr>
        <w:t>Current Ratio = Current Assets/Current Liabilities</w:t>
      </w:r>
    </w:p>
    <w:p w:rsidR="004C5286" w:rsidRPr="004C5286" w:rsidRDefault="004C5286" w:rsidP="004C5286">
      <w:pPr>
        <w:spacing w:line="480" w:lineRule="auto"/>
        <w:jc w:val="right"/>
        <w:rPr>
          <w:rFonts w:ascii="Times New Roman" w:hAnsi="Times New Roman" w:cs="Times New Roman"/>
          <w:b/>
          <w:sz w:val="24"/>
          <w:szCs w:val="24"/>
        </w:rPr>
      </w:pPr>
      <w:r>
        <w:rPr>
          <w:rFonts w:ascii="Times New Roman" w:hAnsi="Times New Roman" w:cs="Times New Roman"/>
          <w:b/>
          <w:sz w:val="24"/>
          <w:szCs w:val="24"/>
        </w:rPr>
        <w:t>TABLE NO.</w:t>
      </w:r>
      <w:r w:rsidRPr="004C5286">
        <w:rPr>
          <w:rFonts w:ascii="Times New Roman" w:hAnsi="Times New Roman" w:cs="Times New Roman"/>
          <w:b/>
          <w:sz w:val="24"/>
          <w:szCs w:val="24"/>
        </w:rPr>
        <w:t>1 CURRENT RATIO</w:t>
      </w:r>
      <w:r w:rsidRPr="004C5286">
        <w:rPr>
          <w:rFonts w:ascii="Times New Roman" w:hAnsi="Times New Roman" w:cs="Times New Roman"/>
          <w:b/>
          <w:sz w:val="24"/>
          <w:szCs w:val="24"/>
        </w:rPr>
        <w:tab/>
      </w:r>
      <w:r w:rsidRPr="004C5286">
        <w:rPr>
          <w:rFonts w:ascii="Times New Roman" w:hAnsi="Times New Roman" w:cs="Times New Roman"/>
          <w:b/>
          <w:sz w:val="24"/>
          <w:szCs w:val="24"/>
        </w:rPr>
        <w:tab/>
      </w:r>
      <w:r w:rsidRPr="004C5286">
        <w:rPr>
          <w:rFonts w:ascii="Times New Roman" w:hAnsi="Times New Roman" w:cs="Times New Roman"/>
          <w:b/>
          <w:sz w:val="24"/>
          <w:szCs w:val="24"/>
        </w:rPr>
        <w:tab/>
      </w:r>
      <w:r w:rsidRPr="004C5286">
        <w:rPr>
          <w:rFonts w:ascii="Times New Roman" w:hAnsi="Times New Roman" w:cs="Times New Roman"/>
          <w:b/>
          <w:sz w:val="24"/>
          <w:szCs w:val="24"/>
        </w:rPr>
        <w:tab/>
      </w:r>
      <w:r w:rsidRPr="004C5286">
        <w:rPr>
          <w:rFonts w:ascii="Times New Roman" w:hAnsi="Times New Roman" w:cs="Times New Roman"/>
          <w:b/>
          <w:sz w:val="24"/>
          <w:szCs w:val="24"/>
        </w:rPr>
        <w:tab/>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2353"/>
        <w:gridCol w:w="2353"/>
      </w:tblGrid>
      <w:tr w:rsidR="004C5286" w:rsidRPr="004C5286" w:rsidTr="009656DC">
        <w:trPr>
          <w:trHeight w:val="550"/>
        </w:trPr>
        <w:tc>
          <w:tcPr>
            <w:tcW w:w="1541" w:type="dxa"/>
            <w:vAlign w:val="center"/>
          </w:tcPr>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Year</w:t>
            </w:r>
          </w:p>
        </w:tc>
        <w:tc>
          <w:tcPr>
            <w:tcW w:w="2353" w:type="dxa"/>
            <w:vAlign w:val="center"/>
          </w:tcPr>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 xml:space="preserve">Current ratio of </w:t>
            </w:r>
            <w:proofErr w:type="spellStart"/>
            <w:r w:rsidRPr="004C5286">
              <w:rPr>
                <w:rFonts w:ascii="Times New Roman" w:hAnsi="Times New Roman" w:cs="Times New Roman"/>
                <w:b/>
                <w:sz w:val="24"/>
                <w:szCs w:val="24"/>
              </w:rPr>
              <w:t>Kotak</w:t>
            </w:r>
            <w:proofErr w:type="spellEnd"/>
            <w:r w:rsidRPr="004C5286">
              <w:rPr>
                <w:rFonts w:ascii="Times New Roman" w:hAnsi="Times New Roman" w:cs="Times New Roman"/>
                <w:b/>
                <w:sz w:val="24"/>
                <w:szCs w:val="24"/>
              </w:rPr>
              <w:t xml:space="preserve"> </w:t>
            </w:r>
            <w:proofErr w:type="spellStart"/>
            <w:r w:rsidRPr="004C5286">
              <w:rPr>
                <w:rFonts w:ascii="Times New Roman" w:hAnsi="Times New Roman" w:cs="Times New Roman"/>
                <w:b/>
                <w:sz w:val="24"/>
                <w:szCs w:val="24"/>
              </w:rPr>
              <w:t>mahindra</w:t>
            </w:r>
            <w:proofErr w:type="spellEnd"/>
            <w:r w:rsidRPr="004C5286">
              <w:rPr>
                <w:rFonts w:ascii="Times New Roman" w:hAnsi="Times New Roman" w:cs="Times New Roman"/>
                <w:b/>
                <w:sz w:val="24"/>
                <w:szCs w:val="24"/>
              </w:rPr>
              <w:t xml:space="preserve"> bank</w:t>
            </w:r>
          </w:p>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w:t>
            </w:r>
            <w:proofErr w:type="spellStart"/>
            <w:r w:rsidRPr="004C5286">
              <w:rPr>
                <w:rFonts w:ascii="Times New Roman" w:hAnsi="Times New Roman" w:cs="Times New Roman"/>
                <w:b/>
                <w:sz w:val="24"/>
                <w:szCs w:val="24"/>
              </w:rPr>
              <w:t>Rs</w:t>
            </w:r>
            <w:proofErr w:type="spellEnd"/>
            <w:r w:rsidRPr="004C5286">
              <w:rPr>
                <w:rFonts w:ascii="Times New Roman" w:hAnsi="Times New Roman" w:cs="Times New Roman"/>
                <w:b/>
                <w:sz w:val="24"/>
                <w:szCs w:val="24"/>
              </w:rPr>
              <w:t xml:space="preserve"> in </w:t>
            </w:r>
            <w:proofErr w:type="spellStart"/>
            <w:r w:rsidRPr="004C5286">
              <w:rPr>
                <w:rFonts w:ascii="Times New Roman" w:hAnsi="Times New Roman" w:cs="Times New Roman"/>
                <w:b/>
                <w:sz w:val="24"/>
                <w:szCs w:val="24"/>
              </w:rPr>
              <w:t>crore</w:t>
            </w:r>
            <w:proofErr w:type="spellEnd"/>
            <w:r w:rsidRPr="004C5286">
              <w:rPr>
                <w:rFonts w:ascii="Times New Roman" w:hAnsi="Times New Roman" w:cs="Times New Roman"/>
                <w:b/>
                <w:sz w:val="24"/>
                <w:szCs w:val="24"/>
              </w:rPr>
              <w:t>)</w:t>
            </w:r>
          </w:p>
        </w:tc>
        <w:tc>
          <w:tcPr>
            <w:tcW w:w="2353" w:type="dxa"/>
            <w:vAlign w:val="center"/>
          </w:tcPr>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Current ratio of HDFC</w:t>
            </w:r>
          </w:p>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w:t>
            </w:r>
            <w:proofErr w:type="spellStart"/>
            <w:r w:rsidRPr="004C5286">
              <w:rPr>
                <w:rFonts w:ascii="Times New Roman" w:hAnsi="Times New Roman" w:cs="Times New Roman"/>
                <w:b/>
                <w:sz w:val="24"/>
                <w:szCs w:val="24"/>
              </w:rPr>
              <w:t>Rs</w:t>
            </w:r>
            <w:proofErr w:type="spellEnd"/>
            <w:r w:rsidRPr="004C5286">
              <w:rPr>
                <w:rFonts w:ascii="Times New Roman" w:hAnsi="Times New Roman" w:cs="Times New Roman"/>
                <w:b/>
                <w:sz w:val="24"/>
                <w:szCs w:val="24"/>
              </w:rPr>
              <w:t xml:space="preserve"> in </w:t>
            </w:r>
            <w:proofErr w:type="spellStart"/>
            <w:r w:rsidRPr="004C5286">
              <w:rPr>
                <w:rFonts w:ascii="Times New Roman" w:hAnsi="Times New Roman" w:cs="Times New Roman"/>
                <w:b/>
                <w:sz w:val="24"/>
                <w:szCs w:val="24"/>
              </w:rPr>
              <w:t>crore</w:t>
            </w:r>
            <w:proofErr w:type="spellEnd"/>
            <w:r w:rsidRPr="004C5286">
              <w:rPr>
                <w:rFonts w:ascii="Times New Roman" w:hAnsi="Times New Roman" w:cs="Times New Roman"/>
                <w:b/>
                <w:sz w:val="24"/>
                <w:szCs w:val="24"/>
              </w:rPr>
              <w:t>)</w:t>
            </w:r>
          </w:p>
        </w:tc>
      </w:tr>
      <w:tr w:rsidR="004C5286" w:rsidRPr="004C5286" w:rsidTr="009656DC">
        <w:trPr>
          <w:trHeight w:val="550"/>
        </w:trPr>
        <w:tc>
          <w:tcPr>
            <w:tcW w:w="1541" w:type="dxa"/>
            <w:vAlign w:val="center"/>
          </w:tcPr>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2017-2018</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1.5</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0.04</w:t>
            </w:r>
          </w:p>
        </w:tc>
      </w:tr>
      <w:tr w:rsidR="004C5286" w:rsidRPr="004C5286" w:rsidTr="009656DC">
        <w:trPr>
          <w:trHeight w:val="563"/>
        </w:trPr>
        <w:tc>
          <w:tcPr>
            <w:tcW w:w="1541" w:type="dxa"/>
            <w:vAlign w:val="center"/>
          </w:tcPr>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2018-2019</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1.08</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0.05</w:t>
            </w:r>
          </w:p>
        </w:tc>
      </w:tr>
      <w:tr w:rsidR="004C5286" w:rsidRPr="004C5286" w:rsidTr="009656DC">
        <w:trPr>
          <w:trHeight w:val="563"/>
        </w:trPr>
        <w:tc>
          <w:tcPr>
            <w:tcW w:w="1541" w:type="dxa"/>
            <w:vAlign w:val="center"/>
          </w:tcPr>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2019-2020</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1.40</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0.04</w:t>
            </w:r>
          </w:p>
        </w:tc>
      </w:tr>
      <w:tr w:rsidR="004C5286" w:rsidRPr="004C5286" w:rsidTr="009656DC">
        <w:trPr>
          <w:trHeight w:val="563"/>
        </w:trPr>
        <w:tc>
          <w:tcPr>
            <w:tcW w:w="1541" w:type="dxa"/>
            <w:vAlign w:val="center"/>
          </w:tcPr>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2020-2021</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1.32</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0.03</w:t>
            </w:r>
          </w:p>
        </w:tc>
      </w:tr>
      <w:tr w:rsidR="004C5286" w:rsidRPr="004C5286" w:rsidTr="009656DC">
        <w:trPr>
          <w:trHeight w:val="563"/>
        </w:trPr>
        <w:tc>
          <w:tcPr>
            <w:tcW w:w="1541" w:type="dxa"/>
            <w:vAlign w:val="center"/>
          </w:tcPr>
          <w:p w:rsidR="004C5286" w:rsidRPr="004C5286" w:rsidRDefault="004C5286" w:rsidP="00F42BB2">
            <w:pPr>
              <w:jc w:val="center"/>
              <w:rPr>
                <w:rFonts w:ascii="Times New Roman" w:hAnsi="Times New Roman" w:cs="Times New Roman"/>
                <w:b/>
                <w:sz w:val="24"/>
                <w:szCs w:val="24"/>
              </w:rPr>
            </w:pPr>
            <w:r w:rsidRPr="004C5286">
              <w:rPr>
                <w:rFonts w:ascii="Times New Roman" w:hAnsi="Times New Roman" w:cs="Times New Roman"/>
                <w:b/>
                <w:sz w:val="24"/>
                <w:szCs w:val="24"/>
              </w:rPr>
              <w:t>2021-2022</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1.59</w:t>
            </w:r>
          </w:p>
        </w:tc>
        <w:tc>
          <w:tcPr>
            <w:tcW w:w="2353"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0.05</w:t>
            </w:r>
          </w:p>
        </w:tc>
      </w:tr>
    </w:tbl>
    <w:p w:rsidR="004C5286" w:rsidRPr="004C5286" w:rsidRDefault="004C5286" w:rsidP="004C5286">
      <w:pPr>
        <w:spacing w:line="360" w:lineRule="auto"/>
        <w:ind w:firstLine="360"/>
        <w:jc w:val="both"/>
        <w:rPr>
          <w:rStyle w:val="Emphasis"/>
          <w:rFonts w:ascii="Times New Roman" w:hAnsi="Times New Roman" w:cs="Times New Roman"/>
          <w:b/>
          <w:bCs/>
          <w:i w:val="0"/>
          <w:iCs w:val="0"/>
          <w:sz w:val="24"/>
          <w:szCs w:val="24"/>
          <w:shd w:val="clear" w:color="auto" w:fill="FFFFFF"/>
        </w:rPr>
      </w:pPr>
    </w:p>
    <w:p w:rsidR="004C5286" w:rsidRDefault="004C5286" w:rsidP="004C5286">
      <w:pPr>
        <w:spacing w:line="360" w:lineRule="auto"/>
        <w:jc w:val="both"/>
        <w:rPr>
          <w:rFonts w:ascii="Times New Roman" w:hAnsi="Times New Roman" w:cs="Times New Roman"/>
          <w:sz w:val="24"/>
          <w:szCs w:val="24"/>
        </w:rPr>
      </w:pPr>
    </w:p>
    <w:p w:rsidR="004C5286" w:rsidRPr="004C5286" w:rsidRDefault="004C5286" w:rsidP="004C5286">
      <w:pPr>
        <w:spacing w:line="480" w:lineRule="auto"/>
        <w:jc w:val="both"/>
        <w:rPr>
          <w:rFonts w:ascii="Times New Roman" w:hAnsi="Times New Roman" w:cs="Times New Roman"/>
          <w:sz w:val="24"/>
          <w:szCs w:val="24"/>
        </w:rPr>
      </w:pPr>
    </w:p>
    <w:p w:rsidR="004C5286" w:rsidRPr="004C5286" w:rsidRDefault="004C5286" w:rsidP="00741E0C">
      <w:pPr>
        <w:spacing w:line="360" w:lineRule="auto"/>
        <w:rPr>
          <w:rFonts w:ascii="Times New Roman" w:hAnsi="Times New Roman" w:cs="Times New Roman"/>
          <w:bCs/>
          <w:sz w:val="24"/>
          <w:szCs w:val="24"/>
        </w:rPr>
      </w:pPr>
    </w:p>
    <w:p w:rsidR="002B4238" w:rsidRDefault="002B4238"/>
    <w:p w:rsidR="004C5286" w:rsidRDefault="004C5286"/>
    <w:p w:rsidR="004C5286" w:rsidRDefault="004C5286"/>
    <w:p w:rsidR="004C5286" w:rsidRDefault="004C5286"/>
    <w:p w:rsidR="004C5286" w:rsidRDefault="004C5286"/>
    <w:p w:rsidR="004C5286" w:rsidRDefault="004C5286"/>
    <w:p w:rsidR="004C5286" w:rsidRDefault="004C5286"/>
    <w:p w:rsidR="004C5286" w:rsidRPr="004C5286" w:rsidRDefault="004C5286" w:rsidP="004C5286">
      <w:pPr>
        <w:spacing w:line="480" w:lineRule="auto"/>
        <w:jc w:val="both"/>
        <w:rPr>
          <w:rFonts w:ascii="Times New Roman" w:hAnsi="Times New Roman" w:cs="Times New Roman"/>
          <w:b/>
          <w:sz w:val="24"/>
          <w:szCs w:val="24"/>
        </w:rPr>
      </w:pPr>
      <w:r w:rsidRPr="004C5286">
        <w:rPr>
          <w:rFonts w:ascii="Times New Roman" w:hAnsi="Times New Roman" w:cs="Times New Roman"/>
          <w:b/>
          <w:sz w:val="24"/>
          <w:szCs w:val="24"/>
        </w:rPr>
        <w:lastRenderedPageBreak/>
        <w:t>INTERPRETATION</w:t>
      </w:r>
    </w:p>
    <w:p w:rsidR="004C5286" w:rsidRPr="004C5286" w:rsidRDefault="004C5286" w:rsidP="004C5286">
      <w:pPr>
        <w:spacing w:before="100" w:beforeAutospacing="1" w:after="100" w:afterAutospacing="1" w:line="480" w:lineRule="auto"/>
        <w:ind w:right="-90"/>
        <w:jc w:val="both"/>
        <w:rPr>
          <w:rFonts w:ascii="Times New Roman" w:hAnsi="Times New Roman" w:cs="Times New Roman"/>
          <w:sz w:val="24"/>
          <w:szCs w:val="24"/>
        </w:rPr>
      </w:pPr>
      <w:r w:rsidRPr="004C5286">
        <w:rPr>
          <w:rFonts w:ascii="Times New Roman" w:hAnsi="Times New Roman" w:cs="Times New Roman"/>
          <w:sz w:val="24"/>
          <w:szCs w:val="24"/>
        </w:rPr>
        <w:t xml:space="preserve">The above table 4.1.1 reveals the current ratio in </w:t>
      </w:r>
      <w:proofErr w:type="spellStart"/>
      <w:r w:rsidRPr="004C5286">
        <w:rPr>
          <w:rFonts w:ascii="Times New Roman" w:hAnsi="Times New Roman" w:cs="Times New Roman"/>
          <w:sz w:val="24"/>
          <w:szCs w:val="24"/>
        </w:rPr>
        <w:t>Kotak</w:t>
      </w:r>
      <w:proofErr w:type="spellEnd"/>
      <w:r w:rsidRPr="004C5286">
        <w:rPr>
          <w:rFonts w:ascii="Times New Roman" w:hAnsi="Times New Roman" w:cs="Times New Roman"/>
          <w:sz w:val="24"/>
          <w:szCs w:val="24"/>
        </w:rPr>
        <w:t xml:space="preserve"> Mahindra Bank &amp; HDFC during the study period. The table shows the current ratio of </w:t>
      </w:r>
      <w:proofErr w:type="spellStart"/>
      <w:r w:rsidRPr="004C5286">
        <w:rPr>
          <w:rFonts w:ascii="Times New Roman" w:hAnsi="Times New Roman" w:cs="Times New Roman"/>
          <w:sz w:val="24"/>
          <w:szCs w:val="24"/>
        </w:rPr>
        <w:t>kotak</w:t>
      </w:r>
      <w:proofErr w:type="spellEnd"/>
      <w:r w:rsidRPr="004C5286">
        <w:rPr>
          <w:rFonts w:ascii="Times New Roman" w:hAnsi="Times New Roman" w:cs="Times New Roman"/>
          <w:sz w:val="24"/>
          <w:szCs w:val="24"/>
        </w:rPr>
        <w:t xml:space="preserve"> </w:t>
      </w:r>
      <w:proofErr w:type="spellStart"/>
      <w:r w:rsidRPr="004C5286">
        <w:rPr>
          <w:rFonts w:ascii="Times New Roman" w:hAnsi="Times New Roman" w:cs="Times New Roman"/>
          <w:sz w:val="24"/>
          <w:szCs w:val="24"/>
        </w:rPr>
        <w:t>mahindra</w:t>
      </w:r>
      <w:proofErr w:type="spellEnd"/>
      <w:r w:rsidRPr="004C5286">
        <w:rPr>
          <w:rFonts w:ascii="Times New Roman" w:hAnsi="Times New Roman" w:cs="Times New Roman"/>
          <w:sz w:val="24"/>
          <w:szCs w:val="24"/>
        </w:rPr>
        <w:t xml:space="preserve"> bank ranges from 1.5 in the year of 2017-2018 and gradually increases which results to </w:t>
      </w:r>
      <w:proofErr w:type="gramStart"/>
      <w:r w:rsidRPr="004C5286">
        <w:rPr>
          <w:rFonts w:ascii="Times New Roman" w:hAnsi="Times New Roman" w:cs="Times New Roman"/>
          <w:sz w:val="24"/>
          <w:szCs w:val="24"/>
        </w:rPr>
        <w:t>1.59  in</w:t>
      </w:r>
      <w:proofErr w:type="gramEnd"/>
      <w:r w:rsidRPr="004C5286">
        <w:rPr>
          <w:rFonts w:ascii="Times New Roman" w:hAnsi="Times New Roman" w:cs="Times New Roman"/>
          <w:sz w:val="24"/>
          <w:szCs w:val="24"/>
        </w:rPr>
        <w:t xml:space="preserve"> the year of 2021-2022 and current ratio of HDFC bank ranges from 0.04 in the year of 2017-2018 and gradually increases which results to 0.05 in the year of 2021-2022. </w:t>
      </w:r>
    </w:p>
    <w:p w:rsidR="004C5286" w:rsidRPr="004C5286" w:rsidRDefault="004C5286" w:rsidP="004C5286">
      <w:pPr>
        <w:spacing w:before="100" w:beforeAutospacing="1" w:after="100" w:afterAutospacing="1" w:line="480" w:lineRule="auto"/>
        <w:ind w:right="-90"/>
        <w:jc w:val="center"/>
        <w:rPr>
          <w:rFonts w:ascii="Times New Roman" w:hAnsi="Times New Roman" w:cs="Times New Roman"/>
          <w:b/>
          <w:sz w:val="24"/>
          <w:szCs w:val="24"/>
        </w:rPr>
      </w:pPr>
      <w:r>
        <w:rPr>
          <w:rFonts w:ascii="Times New Roman" w:hAnsi="Times New Roman" w:cs="Times New Roman"/>
          <w:b/>
          <w:sz w:val="24"/>
          <w:szCs w:val="24"/>
        </w:rPr>
        <w:t>CHART NO.</w:t>
      </w:r>
      <w:r w:rsidRPr="004C5286">
        <w:rPr>
          <w:rFonts w:ascii="Times New Roman" w:hAnsi="Times New Roman" w:cs="Times New Roman"/>
          <w:b/>
          <w:sz w:val="24"/>
          <w:szCs w:val="24"/>
        </w:rPr>
        <w:t>1 CURRENT RATIO</w:t>
      </w:r>
    </w:p>
    <w:p w:rsidR="004C5286" w:rsidRDefault="004C5286" w:rsidP="004C5286">
      <w:pPr>
        <w:spacing w:before="100" w:beforeAutospacing="1" w:after="100" w:afterAutospacing="1" w:line="480" w:lineRule="auto"/>
        <w:ind w:right="-90" w:firstLine="720"/>
        <w:jc w:val="center"/>
        <w:rPr>
          <w:rFonts w:ascii="Times New Roman" w:hAnsi="Times New Roman" w:cs="Times New Roman"/>
          <w:sz w:val="24"/>
          <w:szCs w:val="24"/>
        </w:rPr>
      </w:pPr>
      <w:r w:rsidRPr="004C5286">
        <w:rPr>
          <w:rFonts w:ascii="Times New Roman" w:hAnsi="Times New Roman" w:cs="Times New Roman"/>
          <w:noProof/>
          <w:sz w:val="24"/>
          <w:szCs w:val="24"/>
          <w:lang w:bidi="ta-IN"/>
        </w:rPr>
        <w:drawing>
          <wp:inline distT="0" distB="0" distL="0" distR="0" wp14:anchorId="5AC86D64" wp14:editId="56196BF2">
            <wp:extent cx="3766457" cy="2547257"/>
            <wp:effectExtent l="0" t="0" r="24765" b="2476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4C5286" w:rsidRPr="0005633D" w:rsidRDefault="004C5286" w:rsidP="004C5286">
      <w:pPr>
        <w:spacing w:line="360" w:lineRule="auto"/>
        <w:jc w:val="both"/>
        <w:rPr>
          <w:rFonts w:ascii="Times New Roman" w:hAnsi="Times New Roman" w:cs="Times New Roman"/>
          <w:sz w:val="24"/>
          <w:szCs w:val="24"/>
        </w:rPr>
      </w:pPr>
      <w:r w:rsidRPr="0005633D">
        <w:rPr>
          <w:rFonts w:ascii="Times New Roman" w:hAnsi="Times New Roman" w:cs="Times New Roman"/>
          <w:b/>
          <w:sz w:val="24"/>
          <w:szCs w:val="24"/>
        </w:rPr>
        <w:t>QUICK RATIO</w:t>
      </w:r>
    </w:p>
    <w:p w:rsidR="004C5286" w:rsidRDefault="004C5286" w:rsidP="004C5286">
      <w:pPr>
        <w:spacing w:line="360" w:lineRule="auto"/>
        <w:jc w:val="both"/>
        <w:rPr>
          <w:rFonts w:ascii="Times New Roman" w:hAnsi="Times New Roman" w:cs="Times New Roman"/>
          <w:sz w:val="24"/>
          <w:szCs w:val="24"/>
        </w:rPr>
      </w:pPr>
      <w:r w:rsidRPr="00671A22">
        <w:rPr>
          <w:rFonts w:ascii="Times New Roman" w:hAnsi="Times New Roman" w:cs="Times New Roman"/>
          <w:sz w:val="24"/>
          <w:szCs w:val="24"/>
        </w:rPr>
        <w:t>The quick ratio, also called an acid-test ratio, measures a company's short-term liquidity against its short-term obligations. Essentially, the ratio seeks to figure out if a company has enough liquid assets (cash or things that can easily be converted into cash) to cover its current liabilities and impending debts.</w:t>
      </w:r>
    </w:p>
    <w:p w:rsidR="009656DC" w:rsidRPr="00C97149" w:rsidRDefault="009656DC" w:rsidP="009656DC">
      <w:pPr>
        <w:spacing w:line="360" w:lineRule="auto"/>
        <w:ind w:firstLine="360"/>
        <w:jc w:val="both"/>
        <w:rPr>
          <w:rFonts w:ascii="Times New Roman" w:hAnsi="Times New Roman" w:cs="Times New Roman"/>
          <w:b/>
          <w:sz w:val="24"/>
          <w:szCs w:val="24"/>
        </w:rPr>
      </w:pPr>
      <w:r>
        <w:rPr>
          <w:rFonts w:ascii="Times New Roman" w:hAnsi="Times New Roman" w:cs="Times New Roman"/>
          <w:b/>
          <w:sz w:val="24"/>
          <w:szCs w:val="24"/>
        </w:rPr>
        <w:t xml:space="preserve">Quick </w:t>
      </w:r>
      <w:r w:rsidRPr="00C97149">
        <w:rPr>
          <w:rFonts w:ascii="Times New Roman" w:hAnsi="Times New Roman" w:cs="Times New Roman"/>
          <w:b/>
          <w:sz w:val="24"/>
          <w:szCs w:val="24"/>
        </w:rPr>
        <w:t>ratio = liquid asset/current liabilities.</w:t>
      </w:r>
    </w:p>
    <w:p w:rsidR="004C5286" w:rsidRDefault="004C5286" w:rsidP="004C5286">
      <w:pPr>
        <w:spacing w:before="100" w:beforeAutospacing="1" w:after="100" w:afterAutospacing="1" w:line="480" w:lineRule="auto"/>
        <w:ind w:right="-90" w:firstLine="720"/>
        <w:rPr>
          <w:rFonts w:ascii="Times New Roman" w:hAnsi="Times New Roman" w:cs="Times New Roman"/>
          <w:sz w:val="24"/>
          <w:szCs w:val="24"/>
        </w:rPr>
      </w:pPr>
    </w:p>
    <w:p w:rsidR="009656DC" w:rsidRDefault="009656DC" w:rsidP="004C5286">
      <w:pPr>
        <w:spacing w:before="100" w:beforeAutospacing="1" w:after="100" w:afterAutospacing="1" w:line="360" w:lineRule="auto"/>
        <w:jc w:val="center"/>
        <w:rPr>
          <w:rFonts w:ascii="Times New Roman" w:hAnsi="Times New Roman" w:cs="Times New Roman"/>
          <w:b/>
          <w:sz w:val="24"/>
          <w:szCs w:val="24"/>
        </w:rPr>
      </w:pPr>
    </w:p>
    <w:p w:rsidR="004C5286" w:rsidRPr="004C5286" w:rsidRDefault="009656DC" w:rsidP="004C5286">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w:t>
      </w:r>
      <w:r w:rsidR="004C5286" w:rsidRPr="004C5286">
        <w:rPr>
          <w:rFonts w:ascii="Times New Roman" w:hAnsi="Times New Roman" w:cs="Times New Roman"/>
          <w:b/>
          <w:sz w:val="24"/>
          <w:szCs w:val="24"/>
        </w:rPr>
        <w:t>2 QUICK RATIO</w:t>
      </w:r>
    </w:p>
    <w:tbl>
      <w:tblPr>
        <w:tblStyle w:val="TableGrid"/>
        <w:tblW w:w="6946" w:type="dxa"/>
        <w:jc w:val="center"/>
        <w:tblLook w:val="04A0" w:firstRow="1" w:lastRow="0" w:firstColumn="1" w:lastColumn="0" w:noHBand="0" w:noVBand="1"/>
      </w:tblPr>
      <w:tblGrid>
        <w:gridCol w:w="2164"/>
        <w:gridCol w:w="2391"/>
        <w:gridCol w:w="2391"/>
      </w:tblGrid>
      <w:tr w:rsidR="004C5286" w:rsidRPr="004C5286" w:rsidTr="009656DC">
        <w:trPr>
          <w:trHeight w:val="854"/>
          <w:jc w:val="center"/>
        </w:trPr>
        <w:tc>
          <w:tcPr>
            <w:tcW w:w="2164" w:type="dxa"/>
            <w:vAlign w:val="center"/>
          </w:tcPr>
          <w:p w:rsidR="004C5286" w:rsidRPr="004C5286" w:rsidRDefault="004C5286" w:rsidP="00F42BB2">
            <w:pPr>
              <w:spacing w:before="100" w:beforeAutospacing="1" w:after="100" w:afterAutospacing="1"/>
              <w:ind w:right="-90"/>
              <w:jc w:val="center"/>
              <w:rPr>
                <w:rFonts w:ascii="Times New Roman" w:hAnsi="Times New Roman" w:cs="Times New Roman"/>
                <w:b/>
                <w:sz w:val="24"/>
                <w:szCs w:val="24"/>
              </w:rPr>
            </w:pPr>
            <w:r w:rsidRPr="004C5286">
              <w:rPr>
                <w:rFonts w:ascii="Times New Roman" w:hAnsi="Times New Roman" w:cs="Times New Roman"/>
                <w:b/>
                <w:sz w:val="24"/>
                <w:szCs w:val="24"/>
              </w:rPr>
              <w:t>Year</w:t>
            </w:r>
          </w:p>
        </w:tc>
        <w:tc>
          <w:tcPr>
            <w:tcW w:w="2391" w:type="dxa"/>
            <w:vAlign w:val="center"/>
          </w:tcPr>
          <w:p w:rsidR="004C5286" w:rsidRPr="004C5286" w:rsidRDefault="004C5286" w:rsidP="00F42BB2">
            <w:pPr>
              <w:spacing w:before="100" w:beforeAutospacing="1" w:after="100" w:afterAutospacing="1"/>
              <w:ind w:right="-90"/>
              <w:jc w:val="center"/>
              <w:rPr>
                <w:rFonts w:ascii="Times New Roman" w:hAnsi="Times New Roman" w:cs="Times New Roman"/>
                <w:b/>
                <w:sz w:val="24"/>
                <w:szCs w:val="24"/>
              </w:rPr>
            </w:pPr>
            <w:r w:rsidRPr="004C5286">
              <w:rPr>
                <w:rFonts w:ascii="Times New Roman" w:hAnsi="Times New Roman" w:cs="Times New Roman"/>
                <w:b/>
                <w:sz w:val="24"/>
                <w:szCs w:val="24"/>
              </w:rPr>
              <w:t xml:space="preserve">Quick Ratio </w:t>
            </w:r>
            <w:proofErr w:type="spellStart"/>
            <w:r w:rsidRPr="004C5286">
              <w:rPr>
                <w:rFonts w:ascii="Times New Roman" w:hAnsi="Times New Roman" w:cs="Times New Roman"/>
                <w:b/>
                <w:sz w:val="24"/>
                <w:szCs w:val="24"/>
              </w:rPr>
              <w:t>Kotak</w:t>
            </w:r>
            <w:proofErr w:type="spellEnd"/>
            <w:r w:rsidRPr="004C5286">
              <w:rPr>
                <w:rFonts w:ascii="Times New Roman" w:hAnsi="Times New Roman" w:cs="Times New Roman"/>
                <w:b/>
                <w:sz w:val="24"/>
                <w:szCs w:val="24"/>
              </w:rPr>
              <w:t xml:space="preserve"> Mahindra bank           (in </w:t>
            </w:r>
            <w:proofErr w:type="spellStart"/>
            <w:r w:rsidRPr="004C5286">
              <w:rPr>
                <w:rFonts w:ascii="Times New Roman" w:hAnsi="Times New Roman" w:cs="Times New Roman"/>
                <w:b/>
                <w:sz w:val="24"/>
                <w:szCs w:val="24"/>
              </w:rPr>
              <w:t>crores</w:t>
            </w:r>
            <w:proofErr w:type="spellEnd"/>
            <w:r w:rsidRPr="004C5286">
              <w:rPr>
                <w:rFonts w:ascii="Times New Roman" w:hAnsi="Times New Roman" w:cs="Times New Roman"/>
                <w:b/>
                <w:sz w:val="24"/>
                <w:szCs w:val="24"/>
              </w:rPr>
              <w:t>)</w:t>
            </w:r>
          </w:p>
        </w:tc>
        <w:tc>
          <w:tcPr>
            <w:tcW w:w="2391" w:type="dxa"/>
            <w:vAlign w:val="center"/>
          </w:tcPr>
          <w:p w:rsidR="004C5286" w:rsidRPr="004C5286" w:rsidRDefault="004C5286" w:rsidP="00F42BB2">
            <w:pPr>
              <w:spacing w:before="100" w:beforeAutospacing="1" w:after="100" w:afterAutospacing="1"/>
              <w:ind w:right="-90"/>
              <w:jc w:val="center"/>
              <w:rPr>
                <w:rFonts w:ascii="Times New Roman" w:hAnsi="Times New Roman" w:cs="Times New Roman"/>
                <w:b/>
                <w:sz w:val="24"/>
                <w:szCs w:val="24"/>
              </w:rPr>
            </w:pPr>
            <w:r w:rsidRPr="004C5286">
              <w:rPr>
                <w:rFonts w:ascii="Times New Roman" w:hAnsi="Times New Roman" w:cs="Times New Roman"/>
                <w:b/>
                <w:sz w:val="24"/>
                <w:szCs w:val="24"/>
              </w:rPr>
              <w:t xml:space="preserve">Quick Ratio HDFC     (in </w:t>
            </w:r>
            <w:proofErr w:type="spellStart"/>
            <w:r w:rsidRPr="004C5286">
              <w:rPr>
                <w:rFonts w:ascii="Times New Roman" w:hAnsi="Times New Roman" w:cs="Times New Roman"/>
                <w:b/>
                <w:sz w:val="24"/>
                <w:szCs w:val="24"/>
              </w:rPr>
              <w:t>crores</w:t>
            </w:r>
            <w:proofErr w:type="spellEnd"/>
            <w:r w:rsidRPr="004C5286">
              <w:rPr>
                <w:rFonts w:ascii="Times New Roman" w:hAnsi="Times New Roman" w:cs="Times New Roman"/>
                <w:b/>
                <w:sz w:val="24"/>
                <w:szCs w:val="24"/>
              </w:rPr>
              <w:t>)</w:t>
            </w:r>
          </w:p>
        </w:tc>
      </w:tr>
      <w:tr w:rsidR="004C5286" w:rsidRPr="004C5286" w:rsidTr="009656DC">
        <w:trPr>
          <w:trHeight w:val="539"/>
          <w:jc w:val="center"/>
        </w:trPr>
        <w:tc>
          <w:tcPr>
            <w:tcW w:w="2164" w:type="dxa"/>
            <w:vAlign w:val="center"/>
          </w:tcPr>
          <w:p w:rsidR="004C5286" w:rsidRPr="004C5286" w:rsidRDefault="004C5286" w:rsidP="00F42BB2">
            <w:pPr>
              <w:spacing w:before="100" w:beforeAutospacing="1" w:after="100" w:afterAutospacing="1" w:line="360" w:lineRule="auto"/>
              <w:ind w:right="-90"/>
              <w:jc w:val="center"/>
              <w:rPr>
                <w:rFonts w:ascii="Times New Roman" w:hAnsi="Times New Roman" w:cs="Times New Roman"/>
                <w:b/>
                <w:sz w:val="24"/>
                <w:szCs w:val="24"/>
              </w:rPr>
            </w:pPr>
            <w:r w:rsidRPr="004C5286">
              <w:rPr>
                <w:rFonts w:ascii="Times New Roman" w:hAnsi="Times New Roman" w:cs="Times New Roman"/>
                <w:b/>
                <w:sz w:val="24"/>
                <w:szCs w:val="24"/>
              </w:rPr>
              <w:t>2017-2018</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0.04</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0.05</w:t>
            </w:r>
          </w:p>
        </w:tc>
      </w:tr>
      <w:tr w:rsidR="004C5286" w:rsidRPr="004C5286" w:rsidTr="009656DC">
        <w:trPr>
          <w:trHeight w:val="539"/>
          <w:jc w:val="center"/>
        </w:trPr>
        <w:tc>
          <w:tcPr>
            <w:tcW w:w="2164" w:type="dxa"/>
            <w:vAlign w:val="center"/>
          </w:tcPr>
          <w:p w:rsidR="004C5286" w:rsidRPr="004C5286" w:rsidRDefault="004C5286" w:rsidP="00F42BB2">
            <w:pPr>
              <w:spacing w:before="100" w:beforeAutospacing="1" w:after="100" w:afterAutospacing="1" w:line="360" w:lineRule="auto"/>
              <w:ind w:right="-90"/>
              <w:jc w:val="center"/>
              <w:rPr>
                <w:rFonts w:ascii="Times New Roman" w:hAnsi="Times New Roman" w:cs="Times New Roman"/>
                <w:b/>
                <w:sz w:val="24"/>
                <w:szCs w:val="24"/>
              </w:rPr>
            </w:pPr>
            <w:r w:rsidRPr="004C5286">
              <w:rPr>
                <w:rFonts w:ascii="Times New Roman" w:hAnsi="Times New Roman" w:cs="Times New Roman"/>
                <w:b/>
                <w:sz w:val="24"/>
                <w:szCs w:val="24"/>
              </w:rPr>
              <w:t>2018-2019</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0.05</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0.05</w:t>
            </w:r>
          </w:p>
        </w:tc>
      </w:tr>
      <w:tr w:rsidR="004C5286" w:rsidRPr="004C5286" w:rsidTr="009656DC">
        <w:trPr>
          <w:trHeight w:val="539"/>
          <w:jc w:val="center"/>
        </w:trPr>
        <w:tc>
          <w:tcPr>
            <w:tcW w:w="2164" w:type="dxa"/>
            <w:vAlign w:val="center"/>
          </w:tcPr>
          <w:p w:rsidR="004C5286" w:rsidRPr="004C5286" w:rsidRDefault="004C5286" w:rsidP="00F42BB2">
            <w:pPr>
              <w:spacing w:before="100" w:beforeAutospacing="1" w:after="100" w:afterAutospacing="1" w:line="360" w:lineRule="auto"/>
              <w:ind w:right="-90"/>
              <w:jc w:val="center"/>
              <w:rPr>
                <w:rFonts w:ascii="Times New Roman" w:hAnsi="Times New Roman" w:cs="Times New Roman"/>
                <w:b/>
                <w:sz w:val="24"/>
                <w:szCs w:val="24"/>
              </w:rPr>
            </w:pPr>
            <w:r w:rsidRPr="004C5286">
              <w:rPr>
                <w:rFonts w:ascii="Times New Roman" w:hAnsi="Times New Roman" w:cs="Times New Roman"/>
                <w:b/>
                <w:sz w:val="24"/>
                <w:szCs w:val="24"/>
              </w:rPr>
              <w:t>2019-2020</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0.06</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0.04</w:t>
            </w:r>
          </w:p>
        </w:tc>
      </w:tr>
      <w:tr w:rsidR="004C5286" w:rsidRPr="004C5286" w:rsidTr="009656DC">
        <w:trPr>
          <w:trHeight w:val="517"/>
          <w:jc w:val="center"/>
        </w:trPr>
        <w:tc>
          <w:tcPr>
            <w:tcW w:w="2164" w:type="dxa"/>
            <w:vAlign w:val="center"/>
          </w:tcPr>
          <w:p w:rsidR="004C5286" w:rsidRPr="004C5286" w:rsidRDefault="004C5286" w:rsidP="00F42BB2">
            <w:pPr>
              <w:spacing w:before="100" w:beforeAutospacing="1" w:after="100" w:afterAutospacing="1" w:line="360" w:lineRule="auto"/>
              <w:ind w:right="-90"/>
              <w:jc w:val="center"/>
              <w:rPr>
                <w:rFonts w:ascii="Times New Roman" w:hAnsi="Times New Roman" w:cs="Times New Roman"/>
                <w:b/>
                <w:sz w:val="24"/>
                <w:szCs w:val="24"/>
              </w:rPr>
            </w:pPr>
            <w:r w:rsidRPr="004C5286">
              <w:rPr>
                <w:rFonts w:ascii="Times New Roman" w:hAnsi="Times New Roman" w:cs="Times New Roman"/>
                <w:b/>
                <w:sz w:val="24"/>
                <w:szCs w:val="24"/>
              </w:rPr>
              <w:t>2020-2021</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0.06</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0.04</w:t>
            </w:r>
          </w:p>
        </w:tc>
      </w:tr>
      <w:tr w:rsidR="004C5286" w:rsidRPr="004C5286" w:rsidTr="009656DC">
        <w:trPr>
          <w:trHeight w:val="563"/>
          <w:jc w:val="center"/>
        </w:trPr>
        <w:tc>
          <w:tcPr>
            <w:tcW w:w="2164" w:type="dxa"/>
            <w:vAlign w:val="center"/>
          </w:tcPr>
          <w:p w:rsidR="004C5286" w:rsidRPr="004C5286" w:rsidRDefault="004C5286" w:rsidP="00F42BB2">
            <w:pPr>
              <w:spacing w:before="100" w:beforeAutospacing="1" w:after="100" w:afterAutospacing="1" w:line="360" w:lineRule="auto"/>
              <w:ind w:right="-90"/>
              <w:jc w:val="center"/>
              <w:rPr>
                <w:rFonts w:ascii="Times New Roman" w:hAnsi="Times New Roman" w:cs="Times New Roman"/>
                <w:b/>
                <w:sz w:val="24"/>
                <w:szCs w:val="24"/>
              </w:rPr>
            </w:pPr>
            <w:r w:rsidRPr="004C5286">
              <w:rPr>
                <w:rFonts w:ascii="Times New Roman" w:hAnsi="Times New Roman" w:cs="Times New Roman"/>
                <w:b/>
                <w:sz w:val="24"/>
                <w:szCs w:val="24"/>
              </w:rPr>
              <w:t>2021-2022</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0.08</w:t>
            </w:r>
          </w:p>
        </w:tc>
        <w:tc>
          <w:tcPr>
            <w:tcW w:w="2391" w:type="dxa"/>
            <w:vAlign w:val="center"/>
          </w:tcPr>
          <w:p w:rsidR="004C5286" w:rsidRPr="004C5286" w:rsidRDefault="004C5286" w:rsidP="00F42BB2">
            <w:pPr>
              <w:jc w:val="center"/>
              <w:rPr>
                <w:rFonts w:ascii="Times New Roman" w:hAnsi="Times New Roman" w:cs="Times New Roman"/>
                <w:sz w:val="24"/>
                <w:szCs w:val="24"/>
              </w:rPr>
            </w:pPr>
            <w:r w:rsidRPr="004C5286">
              <w:rPr>
                <w:rFonts w:ascii="Times New Roman" w:hAnsi="Times New Roman" w:cs="Times New Roman"/>
                <w:sz w:val="24"/>
                <w:szCs w:val="24"/>
              </w:rPr>
              <w:t>0.05</w:t>
            </w:r>
          </w:p>
        </w:tc>
      </w:tr>
    </w:tbl>
    <w:p w:rsidR="004C5286" w:rsidRPr="004C5286" w:rsidRDefault="004C5286" w:rsidP="004C5286">
      <w:pPr>
        <w:spacing w:line="480" w:lineRule="auto"/>
        <w:jc w:val="both"/>
        <w:rPr>
          <w:rFonts w:ascii="Times New Roman" w:hAnsi="Times New Roman" w:cs="Times New Roman"/>
          <w:b/>
          <w:sz w:val="24"/>
          <w:szCs w:val="24"/>
        </w:rPr>
      </w:pPr>
    </w:p>
    <w:p w:rsidR="004C5286" w:rsidRPr="004C5286" w:rsidRDefault="004C5286" w:rsidP="004C5286">
      <w:pPr>
        <w:spacing w:line="480" w:lineRule="auto"/>
        <w:jc w:val="both"/>
        <w:rPr>
          <w:rFonts w:ascii="Times New Roman" w:hAnsi="Times New Roman" w:cs="Times New Roman"/>
          <w:b/>
          <w:sz w:val="24"/>
          <w:szCs w:val="24"/>
        </w:rPr>
      </w:pPr>
      <w:r w:rsidRPr="004C5286">
        <w:rPr>
          <w:rFonts w:ascii="Times New Roman" w:hAnsi="Times New Roman" w:cs="Times New Roman"/>
          <w:b/>
          <w:sz w:val="24"/>
          <w:szCs w:val="24"/>
        </w:rPr>
        <w:t>INTERPRETATION</w:t>
      </w:r>
    </w:p>
    <w:p w:rsidR="004C5286" w:rsidRDefault="004C5286" w:rsidP="0032614A">
      <w:pPr>
        <w:spacing w:before="100" w:beforeAutospacing="1" w:after="100" w:afterAutospacing="1" w:line="480" w:lineRule="auto"/>
        <w:ind w:right="-90"/>
        <w:jc w:val="both"/>
        <w:rPr>
          <w:rFonts w:ascii="Times New Roman" w:hAnsi="Times New Roman" w:cs="Times New Roman"/>
          <w:sz w:val="24"/>
          <w:szCs w:val="24"/>
        </w:rPr>
      </w:pPr>
      <w:r w:rsidRPr="004C5286">
        <w:rPr>
          <w:rFonts w:ascii="Times New Roman" w:hAnsi="Times New Roman" w:cs="Times New Roman"/>
          <w:sz w:val="24"/>
          <w:szCs w:val="24"/>
        </w:rPr>
        <w:t xml:space="preserve">The above table 4.1.2 reveals the quick ratio in </w:t>
      </w:r>
      <w:proofErr w:type="spellStart"/>
      <w:r w:rsidRPr="004C5286">
        <w:rPr>
          <w:rFonts w:ascii="Times New Roman" w:hAnsi="Times New Roman" w:cs="Times New Roman"/>
          <w:sz w:val="24"/>
          <w:szCs w:val="24"/>
        </w:rPr>
        <w:t>Kotak</w:t>
      </w:r>
      <w:proofErr w:type="spellEnd"/>
      <w:r w:rsidRPr="004C5286">
        <w:rPr>
          <w:rFonts w:ascii="Times New Roman" w:hAnsi="Times New Roman" w:cs="Times New Roman"/>
          <w:sz w:val="24"/>
          <w:szCs w:val="24"/>
        </w:rPr>
        <w:t xml:space="preserve"> Mahindra Bank &amp; HDFC during the study period. The table shows the quick ratio of </w:t>
      </w:r>
      <w:proofErr w:type="spellStart"/>
      <w:r w:rsidRPr="004C5286">
        <w:rPr>
          <w:rFonts w:ascii="Times New Roman" w:hAnsi="Times New Roman" w:cs="Times New Roman"/>
          <w:sz w:val="24"/>
          <w:szCs w:val="24"/>
        </w:rPr>
        <w:t>Kotak</w:t>
      </w:r>
      <w:proofErr w:type="spellEnd"/>
      <w:r w:rsidRPr="004C5286">
        <w:rPr>
          <w:rFonts w:ascii="Times New Roman" w:hAnsi="Times New Roman" w:cs="Times New Roman"/>
          <w:sz w:val="24"/>
          <w:szCs w:val="24"/>
        </w:rPr>
        <w:t xml:space="preserve"> Mahindra Bank ranges from 0.04 in the year of 2017-2018 and gradually increases which results to 0.08 in the year of 2021-2022 and quick ratio of HDFC bank ranges from 0.05 in the year of 2017-2018 and gradually falls in the year of 2019-2020 and increases which results to 0.05 in the year of 2021-2022. </w:t>
      </w:r>
    </w:p>
    <w:p w:rsidR="009656DC" w:rsidRPr="009656DC" w:rsidRDefault="009656DC" w:rsidP="009656DC">
      <w:pPr>
        <w:spacing w:before="100" w:beforeAutospacing="1" w:after="100" w:afterAutospacing="1" w:line="480" w:lineRule="auto"/>
        <w:ind w:right="-90" w:firstLine="720"/>
        <w:jc w:val="center"/>
        <w:rPr>
          <w:rFonts w:ascii="Times New Roman" w:hAnsi="Times New Roman" w:cs="Times New Roman"/>
          <w:b/>
          <w:sz w:val="24"/>
          <w:szCs w:val="24"/>
        </w:rPr>
      </w:pPr>
      <w:r>
        <w:rPr>
          <w:rFonts w:ascii="Times New Roman" w:hAnsi="Times New Roman" w:cs="Times New Roman"/>
          <w:b/>
          <w:sz w:val="24"/>
          <w:szCs w:val="24"/>
        </w:rPr>
        <w:t>CHART NO.</w:t>
      </w:r>
      <w:r w:rsidRPr="009656DC">
        <w:rPr>
          <w:rFonts w:ascii="Times New Roman" w:hAnsi="Times New Roman" w:cs="Times New Roman"/>
          <w:b/>
          <w:sz w:val="24"/>
          <w:szCs w:val="24"/>
        </w:rPr>
        <w:t>2 QUICK RATIO</w:t>
      </w:r>
    </w:p>
    <w:p w:rsidR="009656DC" w:rsidRDefault="009656DC" w:rsidP="009656DC">
      <w:pPr>
        <w:spacing w:before="100" w:beforeAutospacing="1" w:after="100" w:afterAutospacing="1" w:line="480" w:lineRule="auto"/>
        <w:ind w:right="-90" w:firstLine="720"/>
        <w:jc w:val="center"/>
        <w:rPr>
          <w:rFonts w:ascii="Times New Roman" w:hAnsi="Times New Roman" w:cs="Times New Roman"/>
          <w:sz w:val="24"/>
          <w:szCs w:val="24"/>
        </w:rPr>
      </w:pPr>
      <w:r w:rsidRPr="009656DC">
        <w:rPr>
          <w:rFonts w:ascii="Times New Roman" w:hAnsi="Times New Roman" w:cs="Times New Roman"/>
          <w:noProof/>
          <w:sz w:val="24"/>
          <w:szCs w:val="24"/>
          <w:lang w:bidi="ta-IN"/>
        </w:rPr>
        <w:drawing>
          <wp:inline distT="0" distB="0" distL="0" distR="0" wp14:anchorId="4D88E4D3" wp14:editId="17BF40F5">
            <wp:extent cx="3265714" cy="2329543"/>
            <wp:effectExtent l="0" t="0" r="11430" b="1397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9656DC" w:rsidRPr="0005633D" w:rsidRDefault="009656DC" w:rsidP="009656DC">
      <w:pPr>
        <w:spacing w:line="360" w:lineRule="auto"/>
        <w:jc w:val="both"/>
        <w:rPr>
          <w:rFonts w:ascii="Times New Roman" w:hAnsi="Times New Roman" w:cs="Times New Roman"/>
          <w:b/>
          <w:sz w:val="24"/>
          <w:szCs w:val="24"/>
        </w:rPr>
      </w:pPr>
      <w:r w:rsidRPr="0005633D">
        <w:rPr>
          <w:rFonts w:ascii="Times New Roman" w:hAnsi="Times New Roman" w:cs="Times New Roman"/>
          <w:b/>
          <w:sz w:val="24"/>
          <w:szCs w:val="24"/>
        </w:rPr>
        <w:lastRenderedPageBreak/>
        <w:t>ABSOLUTE LIQUID RATIO</w:t>
      </w:r>
    </w:p>
    <w:p w:rsidR="009656DC" w:rsidRDefault="009656DC" w:rsidP="009656DC">
      <w:pPr>
        <w:spacing w:line="360" w:lineRule="auto"/>
        <w:jc w:val="both"/>
        <w:rPr>
          <w:rFonts w:ascii="Times New Roman" w:hAnsi="Times New Roman" w:cs="Times New Roman"/>
          <w:sz w:val="24"/>
          <w:szCs w:val="24"/>
        </w:rPr>
      </w:pPr>
      <w:r w:rsidRPr="0052223B">
        <w:rPr>
          <w:rFonts w:ascii="Times New Roman" w:hAnsi="Times New Roman" w:cs="Times New Roman"/>
          <w:sz w:val="24"/>
          <w:szCs w:val="24"/>
        </w:rPr>
        <w:t>This ratio measures the total liquidity available to the company. This ratio only considers marketable securities and cash available to the company. This ratio only tests short-term liquidity in terms of cash, marketable securities, and current investment.</w:t>
      </w:r>
    </w:p>
    <w:p w:rsidR="009656DC" w:rsidRPr="00C97149" w:rsidRDefault="009656DC" w:rsidP="009656DC">
      <w:pPr>
        <w:pStyle w:val="Default"/>
        <w:spacing w:line="360" w:lineRule="auto"/>
        <w:ind w:left="720"/>
        <w:jc w:val="both"/>
        <w:rPr>
          <w:b/>
          <w:color w:val="auto"/>
        </w:rPr>
      </w:pPr>
      <w:r w:rsidRPr="00C97149">
        <w:rPr>
          <w:b/>
          <w:color w:val="auto"/>
        </w:rPr>
        <w:t>Absolute Liquid Ratio = Absolute liquid assets / Current liabilities.</w:t>
      </w:r>
    </w:p>
    <w:p w:rsidR="009656DC" w:rsidRPr="009656DC" w:rsidRDefault="009656DC" w:rsidP="009656DC">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TABLE NO.</w:t>
      </w:r>
      <w:r w:rsidRPr="009656DC">
        <w:rPr>
          <w:rFonts w:ascii="Times New Roman" w:hAnsi="Times New Roman" w:cs="Times New Roman"/>
          <w:b/>
          <w:sz w:val="24"/>
          <w:szCs w:val="24"/>
        </w:rPr>
        <w:t>3 ABSOLUTE LIQUID RATIO</w:t>
      </w:r>
    </w:p>
    <w:tbl>
      <w:tblPr>
        <w:tblStyle w:val="TableGrid"/>
        <w:tblW w:w="6742" w:type="dxa"/>
        <w:jc w:val="center"/>
        <w:tblLook w:val="04A0" w:firstRow="1" w:lastRow="0" w:firstColumn="1" w:lastColumn="0" w:noHBand="0" w:noVBand="1"/>
      </w:tblPr>
      <w:tblGrid>
        <w:gridCol w:w="2100"/>
        <w:gridCol w:w="2321"/>
        <w:gridCol w:w="2321"/>
      </w:tblGrid>
      <w:tr w:rsidR="009656DC" w:rsidRPr="009656DC" w:rsidTr="009656DC">
        <w:trPr>
          <w:trHeight w:val="1268"/>
          <w:jc w:val="center"/>
        </w:trPr>
        <w:tc>
          <w:tcPr>
            <w:tcW w:w="2100" w:type="dxa"/>
            <w:vAlign w:val="center"/>
          </w:tcPr>
          <w:p w:rsidR="009656DC" w:rsidRPr="009656DC" w:rsidRDefault="009656DC" w:rsidP="00F42BB2">
            <w:pPr>
              <w:spacing w:before="100" w:beforeAutospacing="1" w:after="100" w:afterAutospacing="1"/>
              <w:ind w:right="-90"/>
              <w:jc w:val="center"/>
              <w:rPr>
                <w:rFonts w:ascii="Times New Roman" w:hAnsi="Times New Roman" w:cs="Times New Roman"/>
                <w:b/>
                <w:sz w:val="24"/>
                <w:szCs w:val="24"/>
              </w:rPr>
            </w:pPr>
            <w:r w:rsidRPr="009656DC">
              <w:rPr>
                <w:rFonts w:ascii="Times New Roman" w:hAnsi="Times New Roman" w:cs="Times New Roman"/>
                <w:b/>
                <w:sz w:val="24"/>
                <w:szCs w:val="24"/>
              </w:rPr>
              <w:t>Year</w:t>
            </w:r>
          </w:p>
        </w:tc>
        <w:tc>
          <w:tcPr>
            <w:tcW w:w="2321" w:type="dxa"/>
            <w:vAlign w:val="center"/>
          </w:tcPr>
          <w:p w:rsidR="009656DC" w:rsidRPr="009656DC" w:rsidRDefault="009656DC" w:rsidP="00F42BB2">
            <w:pPr>
              <w:spacing w:before="100" w:beforeAutospacing="1" w:after="100" w:afterAutospacing="1"/>
              <w:ind w:right="-90"/>
              <w:jc w:val="center"/>
              <w:rPr>
                <w:rFonts w:ascii="Times New Roman" w:hAnsi="Times New Roman" w:cs="Times New Roman"/>
                <w:b/>
                <w:sz w:val="24"/>
                <w:szCs w:val="24"/>
              </w:rPr>
            </w:pPr>
            <w:r w:rsidRPr="009656DC">
              <w:rPr>
                <w:rFonts w:ascii="Times New Roman" w:hAnsi="Times New Roman" w:cs="Times New Roman"/>
                <w:b/>
                <w:sz w:val="24"/>
                <w:szCs w:val="24"/>
              </w:rPr>
              <w:t xml:space="preserve">Absolute liquid ratio </w:t>
            </w:r>
            <w:proofErr w:type="spellStart"/>
            <w:r w:rsidRPr="009656DC">
              <w:rPr>
                <w:rFonts w:ascii="Times New Roman" w:hAnsi="Times New Roman" w:cs="Times New Roman"/>
                <w:b/>
                <w:sz w:val="24"/>
                <w:szCs w:val="24"/>
              </w:rPr>
              <w:t>Kotak</w:t>
            </w:r>
            <w:proofErr w:type="spellEnd"/>
            <w:r w:rsidRPr="009656DC">
              <w:rPr>
                <w:rFonts w:ascii="Times New Roman" w:hAnsi="Times New Roman" w:cs="Times New Roman"/>
                <w:b/>
                <w:sz w:val="24"/>
                <w:szCs w:val="24"/>
              </w:rPr>
              <w:t xml:space="preserve"> </w:t>
            </w:r>
            <w:proofErr w:type="spellStart"/>
            <w:r w:rsidRPr="009656DC">
              <w:rPr>
                <w:rFonts w:ascii="Times New Roman" w:hAnsi="Times New Roman" w:cs="Times New Roman"/>
                <w:b/>
                <w:sz w:val="24"/>
                <w:szCs w:val="24"/>
              </w:rPr>
              <w:t>mahindra</w:t>
            </w:r>
            <w:proofErr w:type="spellEnd"/>
            <w:r w:rsidRPr="009656DC">
              <w:rPr>
                <w:rFonts w:ascii="Times New Roman" w:hAnsi="Times New Roman" w:cs="Times New Roman"/>
                <w:b/>
                <w:sz w:val="24"/>
                <w:szCs w:val="24"/>
              </w:rPr>
              <w:t xml:space="preserve"> bank (in </w:t>
            </w:r>
            <w:proofErr w:type="spellStart"/>
            <w:r w:rsidRPr="009656DC">
              <w:rPr>
                <w:rFonts w:ascii="Times New Roman" w:hAnsi="Times New Roman" w:cs="Times New Roman"/>
                <w:b/>
                <w:sz w:val="24"/>
                <w:szCs w:val="24"/>
              </w:rPr>
              <w:t>crores</w:t>
            </w:r>
            <w:proofErr w:type="spellEnd"/>
            <w:r w:rsidRPr="009656DC">
              <w:rPr>
                <w:rFonts w:ascii="Times New Roman" w:hAnsi="Times New Roman" w:cs="Times New Roman"/>
                <w:b/>
                <w:sz w:val="24"/>
                <w:szCs w:val="24"/>
              </w:rPr>
              <w:t>)</w:t>
            </w:r>
          </w:p>
        </w:tc>
        <w:tc>
          <w:tcPr>
            <w:tcW w:w="2321" w:type="dxa"/>
            <w:vAlign w:val="center"/>
          </w:tcPr>
          <w:p w:rsidR="009656DC" w:rsidRPr="009656DC" w:rsidRDefault="009656DC" w:rsidP="00F42BB2">
            <w:pPr>
              <w:spacing w:before="100" w:beforeAutospacing="1" w:after="100" w:afterAutospacing="1"/>
              <w:ind w:right="-90"/>
              <w:jc w:val="center"/>
              <w:rPr>
                <w:rFonts w:ascii="Times New Roman" w:hAnsi="Times New Roman" w:cs="Times New Roman"/>
                <w:b/>
                <w:sz w:val="24"/>
                <w:szCs w:val="24"/>
              </w:rPr>
            </w:pPr>
            <w:r w:rsidRPr="009656DC">
              <w:rPr>
                <w:rFonts w:ascii="Times New Roman" w:hAnsi="Times New Roman" w:cs="Times New Roman"/>
                <w:b/>
                <w:sz w:val="24"/>
                <w:szCs w:val="24"/>
              </w:rPr>
              <w:t xml:space="preserve">Absolute liquid ratio HDFC Bank                         (in </w:t>
            </w:r>
            <w:proofErr w:type="spellStart"/>
            <w:r w:rsidRPr="009656DC">
              <w:rPr>
                <w:rFonts w:ascii="Times New Roman" w:hAnsi="Times New Roman" w:cs="Times New Roman"/>
                <w:b/>
                <w:sz w:val="24"/>
                <w:szCs w:val="24"/>
              </w:rPr>
              <w:t>crores</w:t>
            </w:r>
            <w:proofErr w:type="spellEnd"/>
            <w:r w:rsidRPr="009656DC">
              <w:rPr>
                <w:rFonts w:ascii="Times New Roman" w:hAnsi="Times New Roman" w:cs="Times New Roman"/>
                <w:b/>
                <w:sz w:val="24"/>
                <w:szCs w:val="24"/>
              </w:rPr>
              <w:t>)</w:t>
            </w:r>
          </w:p>
        </w:tc>
      </w:tr>
      <w:tr w:rsidR="009656DC" w:rsidRPr="009656DC" w:rsidTr="009656DC">
        <w:trPr>
          <w:trHeight w:val="442"/>
          <w:jc w:val="center"/>
        </w:trPr>
        <w:tc>
          <w:tcPr>
            <w:tcW w:w="2100"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b/>
                <w:sz w:val="24"/>
                <w:szCs w:val="24"/>
              </w:rPr>
            </w:pPr>
            <w:r w:rsidRPr="009656DC">
              <w:rPr>
                <w:rFonts w:ascii="Times New Roman" w:hAnsi="Times New Roman" w:cs="Times New Roman"/>
                <w:b/>
                <w:sz w:val="24"/>
                <w:szCs w:val="24"/>
              </w:rPr>
              <w:t>2017-2018</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0.88</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0.17</w:t>
            </w:r>
          </w:p>
        </w:tc>
      </w:tr>
      <w:tr w:rsidR="009656DC" w:rsidRPr="009656DC" w:rsidTr="009656DC">
        <w:trPr>
          <w:trHeight w:val="442"/>
          <w:jc w:val="center"/>
        </w:trPr>
        <w:tc>
          <w:tcPr>
            <w:tcW w:w="2100"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b/>
                <w:sz w:val="24"/>
                <w:szCs w:val="24"/>
              </w:rPr>
            </w:pPr>
            <w:r w:rsidRPr="009656DC">
              <w:rPr>
                <w:rFonts w:ascii="Times New Roman" w:hAnsi="Times New Roman" w:cs="Times New Roman"/>
                <w:b/>
                <w:sz w:val="24"/>
                <w:szCs w:val="24"/>
              </w:rPr>
              <w:t>2018-2019</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0.68</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0.16</w:t>
            </w:r>
          </w:p>
        </w:tc>
      </w:tr>
      <w:tr w:rsidR="009656DC" w:rsidRPr="009656DC" w:rsidTr="009656DC">
        <w:trPr>
          <w:trHeight w:val="442"/>
          <w:jc w:val="center"/>
        </w:trPr>
        <w:tc>
          <w:tcPr>
            <w:tcW w:w="2100"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b/>
                <w:sz w:val="24"/>
                <w:szCs w:val="24"/>
              </w:rPr>
            </w:pPr>
            <w:r w:rsidRPr="009656DC">
              <w:rPr>
                <w:rFonts w:ascii="Times New Roman" w:hAnsi="Times New Roman" w:cs="Times New Roman"/>
                <w:b/>
                <w:sz w:val="24"/>
                <w:szCs w:val="24"/>
              </w:rPr>
              <w:t>2019-2020</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0.67</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0.21</w:t>
            </w:r>
          </w:p>
        </w:tc>
      </w:tr>
      <w:tr w:rsidR="009656DC" w:rsidRPr="009656DC" w:rsidTr="009656DC">
        <w:trPr>
          <w:trHeight w:val="424"/>
          <w:jc w:val="center"/>
        </w:trPr>
        <w:tc>
          <w:tcPr>
            <w:tcW w:w="2100"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b/>
                <w:sz w:val="24"/>
                <w:szCs w:val="24"/>
              </w:rPr>
            </w:pPr>
            <w:r w:rsidRPr="009656DC">
              <w:rPr>
                <w:rFonts w:ascii="Times New Roman" w:hAnsi="Times New Roman" w:cs="Times New Roman"/>
                <w:b/>
                <w:sz w:val="24"/>
                <w:szCs w:val="24"/>
              </w:rPr>
              <w:t>2020-2021</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0.89</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0.23</w:t>
            </w:r>
          </w:p>
        </w:tc>
      </w:tr>
      <w:tr w:rsidR="009656DC" w:rsidRPr="009656DC" w:rsidTr="009656DC">
        <w:trPr>
          <w:trHeight w:val="462"/>
          <w:jc w:val="center"/>
        </w:trPr>
        <w:tc>
          <w:tcPr>
            <w:tcW w:w="2100"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b/>
                <w:sz w:val="24"/>
                <w:szCs w:val="24"/>
              </w:rPr>
            </w:pPr>
            <w:r w:rsidRPr="009656DC">
              <w:rPr>
                <w:rFonts w:ascii="Times New Roman" w:hAnsi="Times New Roman" w:cs="Times New Roman"/>
                <w:b/>
                <w:sz w:val="24"/>
                <w:szCs w:val="24"/>
              </w:rPr>
              <w:t>2021-2022</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0.76</w:t>
            </w:r>
          </w:p>
        </w:tc>
        <w:tc>
          <w:tcPr>
            <w:tcW w:w="2321" w:type="dxa"/>
            <w:vAlign w:val="center"/>
          </w:tcPr>
          <w:p w:rsidR="009656DC" w:rsidRPr="009656DC" w:rsidRDefault="009656DC" w:rsidP="00F42BB2">
            <w:pPr>
              <w:spacing w:before="100" w:beforeAutospacing="1" w:after="100" w:afterAutospacing="1" w:line="360" w:lineRule="auto"/>
              <w:ind w:right="-90"/>
              <w:jc w:val="center"/>
              <w:rPr>
                <w:rFonts w:ascii="Times New Roman" w:hAnsi="Times New Roman" w:cs="Times New Roman"/>
                <w:sz w:val="24"/>
                <w:szCs w:val="24"/>
              </w:rPr>
            </w:pPr>
            <w:r w:rsidRPr="009656DC">
              <w:rPr>
                <w:rFonts w:ascii="Times New Roman" w:hAnsi="Times New Roman" w:cs="Times New Roman"/>
                <w:sz w:val="24"/>
                <w:szCs w:val="24"/>
              </w:rPr>
              <w:t>0.35</w:t>
            </w:r>
          </w:p>
        </w:tc>
      </w:tr>
    </w:tbl>
    <w:p w:rsidR="009656DC" w:rsidRPr="009656DC" w:rsidRDefault="009656DC" w:rsidP="009656DC">
      <w:pPr>
        <w:spacing w:line="480" w:lineRule="auto"/>
        <w:jc w:val="both"/>
        <w:rPr>
          <w:rFonts w:ascii="Times New Roman" w:hAnsi="Times New Roman" w:cs="Times New Roman"/>
          <w:b/>
          <w:sz w:val="24"/>
          <w:szCs w:val="24"/>
        </w:rPr>
      </w:pPr>
    </w:p>
    <w:p w:rsidR="009656DC" w:rsidRPr="009656DC" w:rsidRDefault="009656DC" w:rsidP="009656DC">
      <w:pPr>
        <w:spacing w:line="480" w:lineRule="auto"/>
        <w:jc w:val="both"/>
        <w:rPr>
          <w:rFonts w:ascii="Times New Roman" w:hAnsi="Times New Roman" w:cs="Times New Roman"/>
          <w:b/>
          <w:sz w:val="24"/>
          <w:szCs w:val="24"/>
        </w:rPr>
      </w:pPr>
      <w:r w:rsidRPr="009656DC">
        <w:rPr>
          <w:rFonts w:ascii="Times New Roman" w:hAnsi="Times New Roman" w:cs="Times New Roman"/>
          <w:b/>
          <w:sz w:val="24"/>
          <w:szCs w:val="24"/>
        </w:rPr>
        <w:t>INTERPRETATION</w:t>
      </w:r>
    </w:p>
    <w:p w:rsidR="009656DC" w:rsidRDefault="009656DC" w:rsidP="009656DC">
      <w:pPr>
        <w:spacing w:before="100" w:beforeAutospacing="1" w:after="100" w:afterAutospacing="1" w:line="480" w:lineRule="auto"/>
        <w:ind w:right="-90"/>
        <w:jc w:val="both"/>
        <w:rPr>
          <w:rFonts w:ascii="Times New Roman" w:hAnsi="Times New Roman" w:cs="Times New Roman"/>
          <w:sz w:val="24"/>
          <w:szCs w:val="24"/>
        </w:rPr>
      </w:pPr>
      <w:r w:rsidRPr="009656DC">
        <w:rPr>
          <w:rFonts w:ascii="Times New Roman" w:hAnsi="Times New Roman" w:cs="Times New Roman"/>
          <w:sz w:val="24"/>
          <w:szCs w:val="24"/>
        </w:rPr>
        <w:t xml:space="preserve">The above table 4.1.3 reveals the Absolute Liquid Ratio in </w:t>
      </w:r>
      <w:proofErr w:type="spellStart"/>
      <w:r w:rsidRPr="009656DC">
        <w:rPr>
          <w:rFonts w:ascii="Times New Roman" w:hAnsi="Times New Roman" w:cs="Times New Roman"/>
          <w:sz w:val="24"/>
          <w:szCs w:val="24"/>
        </w:rPr>
        <w:t>Kotak</w:t>
      </w:r>
      <w:proofErr w:type="spellEnd"/>
      <w:r w:rsidRPr="009656DC">
        <w:rPr>
          <w:rFonts w:ascii="Times New Roman" w:hAnsi="Times New Roman" w:cs="Times New Roman"/>
          <w:sz w:val="24"/>
          <w:szCs w:val="24"/>
        </w:rPr>
        <w:t xml:space="preserve"> Mahindra Bank &amp; HDFC during the study period. The table shows the absolute liquid ratio of </w:t>
      </w:r>
      <w:proofErr w:type="spellStart"/>
      <w:r w:rsidRPr="009656DC">
        <w:rPr>
          <w:rFonts w:ascii="Times New Roman" w:hAnsi="Times New Roman" w:cs="Times New Roman"/>
          <w:sz w:val="24"/>
          <w:szCs w:val="24"/>
        </w:rPr>
        <w:t>Kotak</w:t>
      </w:r>
      <w:proofErr w:type="spellEnd"/>
      <w:r w:rsidRPr="009656DC">
        <w:rPr>
          <w:rFonts w:ascii="Times New Roman" w:hAnsi="Times New Roman" w:cs="Times New Roman"/>
          <w:sz w:val="24"/>
          <w:szCs w:val="24"/>
        </w:rPr>
        <w:t xml:space="preserve"> Mahindra Bank ranges from 0.88 in the year of 2017-2018 and gradually falls which results to </w:t>
      </w:r>
      <w:proofErr w:type="gramStart"/>
      <w:r w:rsidRPr="009656DC">
        <w:rPr>
          <w:rFonts w:ascii="Times New Roman" w:hAnsi="Times New Roman" w:cs="Times New Roman"/>
          <w:sz w:val="24"/>
          <w:szCs w:val="24"/>
        </w:rPr>
        <w:t>0.76  in</w:t>
      </w:r>
      <w:proofErr w:type="gramEnd"/>
      <w:r w:rsidRPr="009656DC">
        <w:rPr>
          <w:rFonts w:ascii="Times New Roman" w:hAnsi="Times New Roman" w:cs="Times New Roman"/>
          <w:sz w:val="24"/>
          <w:szCs w:val="24"/>
        </w:rPr>
        <w:t xml:space="preserve"> the year of 2021-2022 and Absolute Liquid Ratio of HDFC Bank ranges from 0.17 in the year of 2017-2018 and gradually increases which results to 0.35 in the year of 2021-2022. </w:t>
      </w:r>
    </w:p>
    <w:p w:rsidR="009656DC" w:rsidRDefault="009656DC" w:rsidP="009656DC">
      <w:pPr>
        <w:spacing w:before="100" w:beforeAutospacing="1" w:after="100" w:afterAutospacing="1" w:line="480" w:lineRule="auto"/>
        <w:ind w:right="-90"/>
        <w:jc w:val="center"/>
        <w:rPr>
          <w:rFonts w:ascii="Times New Roman" w:hAnsi="Times New Roman" w:cs="Times New Roman"/>
          <w:b/>
          <w:sz w:val="24"/>
          <w:szCs w:val="24"/>
        </w:rPr>
      </w:pPr>
    </w:p>
    <w:p w:rsidR="009656DC" w:rsidRDefault="009656DC" w:rsidP="009656DC">
      <w:pPr>
        <w:spacing w:before="100" w:beforeAutospacing="1" w:after="100" w:afterAutospacing="1" w:line="480" w:lineRule="auto"/>
        <w:ind w:right="-90"/>
        <w:jc w:val="center"/>
        <w:rPr>
          <w:rFonts w:ascii="Times New Roman" w:hAnsi="Times New Roman" w:cs="Times New Roman"/>
          <w:b/>
          <w:sz w:val="24"/>
          <w:szCs w:val="24"/>
        </w:rPr>
      </w:pPr>
    </w:p>
    <w:p w:rsidR="00035673" w:rsidRDefault="00035673" w:rsidP="009656DC">
      <w:pPr>
        <w:spacing w:before="100" w:beforeAutospacing="1" w:after="100" w:afterAutospacing="1" w:line="480" w:lineRule="auto"/>
        <w:ind w:right="-90"/>
        <w:jc w:val="center"/>
        <w:rPr>
          <w:rFonts w:ascii="Times New Roman" w:hAnsi="Times New Roman" w:cs="Times New Roman"/>
          <w:b/>
          <w:sz w:val="24"/>
          <w:szCs w:val="24"/>
        </w:rPr>
      </w:pPr>
    </w:p>
    <w:p w:rsidR="009656DC" w:rsidRPr="009656DC" w:rsidRDefault="009656DC" w:rsidP="009656DC">
      <w:pPr>
        <w:spacing w:before="100" w:beforeAutospacing="1" w:after="100" w:afterAutospacing="1" w:line="480" w:lineRule="auto"/>
        <w:ind w:right="-90"/>
        <w:jc w:val="center"/>
        <w:rPr>
          <w:rFonts w:ascii="Times New Roman" w:hAnsi="Times New Roman" w:cs="Times New Roman"/>
          <w:b/>
          <w:sz w:val="24"/>
          <w:szCs w:val="24"/>
        </w:rPr>
      </w:pPr>
      <w:r w:rsidRPr="009656DC">
        <w:rPr>
          <w:rFonts w:ascii="Times New Roman" w:hAnsi="Times New Roman" w:cs="Times New Roman"/>
          <w:b/>
          <w:sz w:val="24"/>
          <w:szCs w:val="24"/>
        </w:rPr>
        <w:lastRenderedPageBreak/>
        <w:t>CHART NO.3 ABSOLUTE LIQUID RATIO</w:t>
      </w:r>
    </w:p>
    <w:p w:rsidR="009656DC" w:rsidRPr="009656DC" w:rsidRDefault="00035673" w:rsidP="00035673">
      <w:pPr>
        <w:spacing w:before="100" w:beforeAutospacing="1" w:after="100" w:afterAutospacing="1" w:line="480" w:lineRule="auto"/>
        <w:ind w:right="-90" w:firstLine="720"/>
        <w:jc w:val="center"/>
        <w:rPr>
          <w:sz w:val="24"/>
          <w:szCs w:val="24"/>
        </w:rPr>
      </w:pPr>
      <w:r>
        <w:rPr>
          <w:noProof/>
          <w:lang w:bidi="ta-IN"/>
        </w:rPr>
        <w:drawing>
          <wp:inline distT="0" distB="0" distL="0" distR="0" wp14:anchorId="4A8AC446" wp14:editId="48987EFB">
            <wp:extent cx="4597400" cy="2853267"/>
            <wp:effectExtent l="0" t="0" r="12700" b="2349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656DC" w:rsidRPr="009656DC" w:rsidRDefault="009656DC" w:rsidP="009656DC">
      <w:pPr>
        <w:spacing w:line="360" w:lineRule="auto"/>
        <w:jc w:val="both"/>
        <w:rPr>
          <w:rFonts w:ascii="Times New Roman" w:hAnsi="Times New Roman" w:cs="Times New Roman"/>
          <w:b/>
          <w:sz w:val="24"/>
          <w:szCs w:val="24"/>
        </w:rPr>
      </w:pPr>
      <w:r w:rsidRPr="009656DC">
        <w:rPr>
          <w:rFonts w:ascii="Times New Roman" w:hAnsi="Times New Roman" w:cs="Times New Roman"/>
          <w:b/>
          <w:sz w:val="24"/>
          <w:szCs w:val="24"/>
        </w:rPr>
        <w:t>PROFITABILITY RATIO</w:t>
      </w:r>
    </w:p>
    <w:p w:rsidR="009656DC" w:rsidRDefault="009656DC" w:rsidP="009656DC">
      <w:pPr>
        <w:pStyle w:val="NormalWeb"/>
        <w:spacing w:before="0" w:beforeAutospacing="0" w:after="200" w:afterAutospacing="0" w:line="360" w:lineRule="auto"/>
        <w:jc w:val="both"/>
        <w:rPr>
          <w:b/>
        </w:rPr>
      </w:pPr>
      <w:r>
        <w:rPr>
          <w:b/>
        </w:rPr>
        <w:t>GROSS PROFIT RATIO</w:t>
      </w:r>
    </w:p>
    <w:p w:rsidR="009656DC" w:rsidRDefault="009656DC" w:rsidP="009656DC">
      <w:pPr>
        <w:pStyle w:val="NormalWeb"/>
        <w:spacing w:before="0" w:beforeAutospacing="0" w:after="200" w:afterAutospacing="0" w:line="360" w:lineRule="auto"/>
        <w:jc w:val="both"/>
        <w:rPr>
          <w:bdr w:val="none" w:sz="0" w:space="0" w:color="auto" w:frame="1"/>
        </w:rPr>
      </w:pPr>
      <w:r w:rsidRPr="00AB15E8">
        <w:t xml:space="preserve">Gross profit margin shows the company can return income at the gross level.  This ratio helps to control inventory usage and production performance and fixing unit price of goods. </w:t>
      </w:r>
      <w:r w:rsidRPr="00AB15E8">
        <w:rPr>
          <w:bdr w:val="none" w:sz="0" w:space="0" w:color="auto" w:frame="1"/>
        </w:rPr>
        <w:t xml:space="preserve">This ratio determines the overall efficiency of the business. </w:t>
      </w:r>
    </w:p>
    <w:p w:rsidR="00035673" w:rsidRDefault="00035673" w:rsidP="00035673">
      <w:pPr>
        <w:pStyle w:val="ListParagraph"/>
        <w:shd w:val="clear" w:color="auto" w:fill="FFFFFF"/>
        <w:spacing w:after="0" w:line="360" w:lineRule="auto"/>
        <w:rPr>
          <w:rFonts w:ascii="Times New Roman" w:eastAsia="Times New Roman" w:hAnsi="Times New Roman" w:cs="Times New Roman"/>
          <w:b/>
          <w:bCs/>
          <w:color w:val="222222"/>
          <w:sz w:val="24"/>
          <w:szCs w:val="24"/>
        </w:rPr>
      </w:pPr>
      <w:r w:rsidRPr="00C97149">
        <w:rPr>
          <w:rFonts w:ascii="Times New Roman" w:eastAsia="Times New Roman" w:hAnsi="Times New Roman" w:cs="Times New Roman"/>
          <w:b/>
          <w:bCs/>
          <w:color w:val="222222"/>
          <w:sz w:val="24"/>
          <w:szCs w:val="24"/>
        </w:rPr>
        <w:t>Gross Profit Ratio = (Gross Profit / Total Revenue) x 100</w:t>
      </w:r>
    </w:p>
    <w:p w:rsidR="00035673" w:rsidRPr="00035673" w:rsidRDefault="00035673" w:rsidP="00035673">
      <w:pPr>
        <w:pStyle w:val="ListParagraph"/>
        <w:shd w:val="clear" w:color="auto" w:fill="FFFFFF"/>
        <w:spacing w:after="0" w:line="360" w:lineRule="auto"/>
        <w:jc w:val="center"/>
        <w:rPr>
          <w:rFonts w:ascii="Times New Roman" w:eastAsia="Times New Roman" w:hAnsi="Times New Roman" w:cs="Times New Roman"/>
          <w:b/>
          <w:bCs/>
          <w:color w:val="222222"/>
          <w:sz w:val="24"/>
          <w:szCs w:val="24"/>
        </w:rPr>
      </w:pPr>
      <w:r>
        <w:rPr>
          <w:rFonts w:ascii="Times New Roman" w:hAnsi="Times New Roman" w:cs="Times New Roman"/>
          <w:b/>
          <w:sz w:val="24"/>
          <w:szCs w:val="24"/>
        </w:rPr>
        <w:t>TABLE NO. 4</w:t>
      </w:r>
      <w:r w:rsidRPr="00035673">
        <w:rPr>
          <w:rFonts w:ascii="Times New Roman" w:hAnsi="Times New Roman" w:cs="Times New Roman"/>
          <w:b/>
          <w:sz w:val="24"/>
          <w:szCs w:val="24"/>
        </w:rPr>
        <w:t xml:space="preserve"> GROSS PROFIT RATIO</w:t>
      </w:r>
    </w:p>
    <w:tbl>
      <w:tblPr>
        <w:tblStyle w:val="TableGrid"/>
        <w:tblW w:w="6896" w:type="dxa"/>
        <w:jc w:val="center"/>
        <w:tblLook w:val="04A0" w:firstRow="1" w:lastRow="0" w:firstColumn="1" w:lastColumn="0" w:noHBand="0" w:noVBand="1"/>
      </w:tblPr>
      <w:tblGrid>
        <w:gridCol w:w="2148"/>
        <w:gridCol w:w="2374"/>
        <w:gridCol w:w="2374"/>
      </w:tblGrid>
      <w:tr w:rsidR="00035673" w:rsidRPr="00035673" w:rsidTr="00035673">
        <w:trPr>
          <w:trHeight w:val="1240"/>
          <w:jc w:val="center"/>
        </w:trPr>
        <w:tc>
          <w:tcPr>
            <w:tcW w:w="2148" w:type="dxa"/>
            <w:vAlign w:val="center"/>
          </w:tcPr>
          <w:p w:rsidR="00035673" w:rsidRPr="00035673" w:rsidRDefault="00035673" w:rsidP="00F42BB2">
            <w:pPr>
              <w:spacing w:before="100" w:beforeAutospacing="1" w:after="100" w:afterAutospacing="1"/>
              <w:ind w:right="-90"/>
              <w:jc w:val="center"/>
              <w:rPr>
                <w:rFonts w:ascii="Times New Roman" w:hAnsi="Times New Roman" w:cs="Times New Roman"/>
                <w:b/>
                <w:sz w:val="24"/>
                <w:szCs w:val="24"/>
              </w:rPr>
            </w:pPr>
            <w:r w:rsidRPr="00035673">
              <w:rPr>
                <w:rFonts w:ascii="Times New Roman" w:hAnsi="Times New Roman" w:cs="Times New Roman"/>
                <w:b/>
                <w:sz w:val="24"/>
                <w:szCs w:val="24"/>
              </w:rPr>
              <w:t>Year</w:t>
            </w:r>
          </w:p>
        </w:tc>
        <w:tc>
          <w:tcPr>
            <w:tcW w:w="2374" w:type="dxa"/>
            <w:vAlign w:val="center"/>
          </w:tcPr>
          <w:p w:rsidR="00035673" w:rsidRPr="00035673" w:rsidRDefault="00035673" w:rsidP="00F42BB2">
            <w:pPr>
              <w:spacing w:before="120" w:after="120"/>
              <w:contextualSpacing/>
              <w:jc w:val="center"/>
              <w:rPr>
                <w:rFonts w:ascii="Times New Roman" w:hAnsi="Times New Roman" w:cs="Times New Roman"/>
                <w:b/>
                <w:sz w:val="24"/>
                <w:szCs w:val="24"/>
                <w:lang w:val="en-IN"/>
              </w:rPr>
            </w:pPr>
            <w:r w:rsidRPr="00035673">
              <w:rPr>
                <w:rFonts w:ascii="Times New Roman" w:hAnsi="Times New Roman" w:cs="Times New Roman"/>
                <w:b/>
                <w:sz w:val="24"/>
                <w:szCs w:val="24"/>
                <w:lang w:val="en-IN"/>
              </w:rPr>
              <w:t xml:space="preserve">Gross Profit         (Profit before tax) </w:t>
            </w:r>
            <w:proofErr w:type="spellStart"/>
            <w:r w:rsidRPr="00035673">
              <w:rPr>
                <w:rFonts w:ascii="Times New Roman" w:hAnsi="Times New Roman" w:cs="Times New Roman"/>
                <w:b/>
                <w:sz w:val="24"/>
                <w:szCs w:val="24"/>
              </w:rPr>
              <w:t>Kotak</w:t>
            </w:r>
            <w:proofErr w:type="spellEnd"/>
            <w:r w:rsidRPr="00035673">
              <w:rPr>
                <w:rFonts w:ascii="Times New Roman" w:hAnsi="Times New Roman" w:cs="Times New Roman"/>
                <w:b/>
                <w:sz w:val="24"/>
                <w:szCs w:val="24"/>
              </w:rPr>
              <w:t xml:space="preserve"> Mahindra Bank</w:t>
            </w:r>
            <w:r w:rsidRPr="00035673">
              <w:rPr>
                <w:rFonts w:ascii="Times New Roman" w:hAnsi="Times New Roman" w:cs="Times New Roman"/>
                <w:b/>
                <w:sz w:val="24"/>
                <w:szCs w:val="24"/>
                <w:lang w:val="en-IN"/>
              </w:rPr>
              <w:t xml:space="preserve"> </w:t>
            </w:r>
            <w:r w:rsidRPr="00035673">
              <w:rPr>
                <w:rFonts w:ascii="Times New Roman" w:hAnsi="Times New Roman" w:cs="Times New Roman"/>
                <w:b/>
                <w:sz w:val="24"/>
                <w:szCs w:val="24"/>
              </w:rPr>
              <w:t xml:space="preserve">(in </w:t>
            </w:r>
            <w:proofErr w:type="spellStart"/>
            <w:r w:rsidRPr="00035673">
              <w:rPr>
                <w:rFonts w:ascii="Times New Roman" w:hAnsi="Times New Roman" w:cs="Times New Roman"/>
                <w:b/>
                <w:sz w:val="24"/>
                <w:szCs w:val="24"/>
              </w:rPr>
              <w:t>crores</w:t>
            </w:r>
            <w:proofErr w:type="spellEnd"/>
            <w:r w:rsidRPr="00035673">
              <w:rPr>
                <w:rFonts w:ascii="Times New Roman" w:hAnsi="Times New Roman" w:cs="Times New Roman"/>
                <w:b/>
                <w:sz w:val="24"/>
                <w:szCs w:val="24"/>
              </w:rPr>
              <w:t>)</w:t>
            </w:r>
          </w:p>
        </w:tc>
        <w:tc>
          <w:tcPr>
            <w:tcW w:w="2374" w:type="dxa"/>
            <w:vAlign w:val="center"/>
          </w:tcPr>
          <w:p w:rsidR="00035673" w:rsidRPr="00035673" w:rsidRDefault="00035673" w:rsidP="00F42BB2">
            <w:pPr>
              <w:spacing w:before="120" w:after="120"/>
              <w:contextualSpacing/>
              <w:jc w:val="center"/>
              <w:rPr>
                <w:rFonts w:ascii="Times New Roman" w:hAnsi="Times New Roman" w:cs="Times New Roman"/>
                <w:b/>
                <w:sz w:val="24"/>
                <w:szCs w:val="24"/>
                <w:lang w:val="en-IN"/>
              </w:rPr>
            </w:pPr>
            <w:r w:rsidRPr="00035673">
              <w:rPr>
                <w:rFonts w:ascii="Times New Roman" w:hAnsi="Times New Roman" w:cs="Times New Roman"/>
                <w:b/>
                <w:sz w:val="24"/>
                <w:szCs w:val="24"/>
                <w:lang w:val="en-IN"/>
              </w:rPr>
              <w:t xml:space="preserve">Gross Profit         (Profit before tax) </w:t>
            </w:r>
            <w:r w:rsidRPr="00035673">
              <w:rPr>
                <w:rFonts w:ascii="Times New Roman" w:hAnsi="Times New Roman" w:cs="Times New Roman"/>
                <w:b/>
                <w:sz w:val="24"/>
                <w:szCs w:val="24"/>
              </w:rPr>
              <w:t>HDFC</w:t>
            </w:r>
          </w:p>
          <w:p w:rsidR="00035673" w:rsidRPr="00035673" w:rsidRDefault="00035673" w:rsidP="00F42BB2">
            <w:pPr>
              <w:jc w:val="center"/>
              <w:rPr>
                <w:rFonts w:ascii="Times New Roman" w:hAnsi="Times New Roman" w:cs="Times New Roman"/>
                <w:b/>
                <w:sz w:val="24"/>
                <w:szCs w:val="24"/>
              </w:rPr>
            </w:pPr>
            <w:r w:rsidRPr="00035673">
              <w:rPr>
                <w:rFonts w:ascii="Times New Roman" w:hAnsi="Times New Roman" w:cs="Times New Roman"/>
                <w:b/>
                <w:sz w:val="24"/>
                <w:szCs w:val="24"/>
              </w:rPr>
              <w:t xml:space="preserve">(in </w:t>
            </w:r>
            <w:proofErr w:type="spellStart"/>
            <w:r w:rsidRPr="00035673">
              <w:rPr>
                <w:rFonts w:ascii="Times New Roman" w:hAnsi="Times New Roman" w:cs="Times New Roman"/>
                <w:b/>
                <w:sz w:val="24"/>
                <w:szCs w:val="24"/>
              </w:rPr>
              <w:t>crores</w:t>
            </w:r>
            <w:proofErr w:type="spellEnd"/>
            <w:r w:rsidRPr="00035673">
              <w:rPr>
                <w:rFonts w:ascii="Times New Roman" w:hAnsi="Times New Roman" w:cs="Times New Roman"/>
                <w:b/>
                <w:sz w:val="24"/>
                <w:szCs w:val="24"/>
              </w:rPr>
              <w:t>)</w:t>
            </w:r>
          </w:p>
        </w:tc>
      </w:tr>
      <w:tr w:rsidR="00035673" w:rsidRPr="00035673" w:rsidTr="00035673">
        <w:trPr>
          <w:trHeight w:val="433"/>
          <w:jc w:val="center"/>
        </w:trPr>
        <w:tc>
          <w:tcPr>
            <w:tcW w:w="2148"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b/>
                <w:sz w:val="24"/>
                <w:szCs w:val="24"/>
              </w:rPr>
            </w:pPr>
            <w:r w:rsidRPr="00035673">
              <w:rPr>
                <w:rFonts w:ascii="Times New Roman" w:hAnsi="Times New Roman" w:cs="Times New Roman"/>
                <w:b/>
                <w:sz w:val="24"/>
                <w:szCs w:val="24"/>
              </w:rPr>
              <w:t>2017-2018</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0.24</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0.45</w:t>
            </w:r>
          </w:p>
        </w:tc>
      </w:tr>
      <w:tr w:rsidR="00035673" w:rsidRPr="00035673" w:rsidTr="00035673">
        <w:trPr>
          <w:trHeight w:val="415"/>
          <w:jc w:val="center"/>
        </w:trPr>
        <w:tc>
          <w:tcPr>
            <w:tcW w:w="2148"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b/>
                <w:sz w:val="24"/>
                <w:szCs w:val="24"/>
              </w:rPr>
            </w:pPr>
            <w:r w:rsidRPr="00035673">
              <w:rPr>
                <w:rFonts w:ascii="Times New Roman" w:hAnsi="Times New Roman" w:cs="Times New Roman"/>
                <w:b/>
                <w:sz w:val="24"/>
                <w:szCs w:val="24"/>
              </w:rPr>
              <w:t>2018-2019</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0.25</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0.58</w:t>
            </w:r>
          </w:p>
        </w:tc>
      </w:tr>
      <w:tr w:rsidR="00035673" w:rsidRPr="00035673" w:rsidTr="00035673">
        <w:trPr>
          <w:trHeight w:val="433"/>
          <w:jc w:val="center"/>
        </w:trPr>
        <w:tc>
          <w:tcPr>
            <w:tcW w:w="2148"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b/>
                <w:sz w:val="24"/>
                <w:szCs w:val="24"/>
              </w:rPr>
            </w:pPr>
            <w:r w:rsidRPr="00035673">
              <w:rPr>
                <w:rFonts w:ascii="Times New Roman" w:hAnsi="Times New Roman" w:cs="Times New Roman"/>
                <w:b/>
                <w:sz w:val="24"/>
                <w:szCs w:val="24"/>
              </w:rPr>
              <w:t>2019-2020</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0.18</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0.66</w:t>
            </w:r>
          </w:p>
        </w:tc>
      </w:tr>
      <w:tr w:rsidR="00035673" w:rsidRPr="00035673" w:rsidTr="00035673">
        <w:trPr>
          <w:trHeight w:val="433"/>
          <w:jc w:val="center"/>
        </w:trPr>
        <w:tc>
          <w:tcPr>
            <w:tcW w:w="2148"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b/>
                <w:sz w:val="24"/>
                <w:szCs w:val="24"/>
              </w:rPr>
            </w:pPr>
            <w:r w:rsidRPr="00035673">
              <w:rPr>
                <w:rFonts w:ascii="Times New Roman" w:hAnsi="Times New Roman" w:cs="Times New Roman"/>
                <w:b/>
                <w:sz w:val="24"/>
                <w:szCs w:val="24"/>
              </w:rPr>
              <w:t>2020-2021</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0.20</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0.76</w:t>
            </w:r>
          </w:p>
        </w:tc>
      </w:tr>
      <w:tr w:rsidR="00035673" w:rsidRPr="00035673" w:rsidTr="00035673">
        <w:trPr>
          <w:trHeight w:val="433"/>
          <w:jc w:val="center"/>
        </w:trPr>
        <w:tc>
          <w:tcPr>
            <w:tcW w:w="2148"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b/>
                <w:sz w:val="24"/>
                <w:szCs w:val="24"/>
              </w:rPr>
            </w:pPr>
            <w:r w:rsidRPr="00035673">
              <w:rPr>
                <w:rFonts w:ascii="Times New Roman" w:hAnsi="Times New Roman" w:cs="Times New Roman"/>
                <w:b/>
                <w:sz w:val="24"/>
                <w:szCs w:val="24"/>
              </w:rPr>
              <w:t>2021-2022</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1.50</w:t>
            </w:r>
          </w:p>
        </w:tc>
        <w:tc>
          <w:tcPr>
            <w:tcW w:w="2374" w:type="dxa"/>
            <w:vAlign w:val="center"/>
          </w:tcPr>
          <w:p w:rsidR="00035673" w:rsidRPr="00035673" w:rsidRDefault="00035673" w:rsidP="00F42BB2">
            <w:pPr>
              <w:spacing w:before="100" w:beforeAutospacing="1" w:after="100" w:afterAutospacing="1" w:line="360" w:lineRule="auto"/>
              <w:ind w:right="-90"/>
              <w:jc w:val="center"/>
              <w:rPr>
                <w:rFonts w:ascii="Times New Roman" w:hAnsi="Times New Roman" w:cs="Times New Roman"/>
                <w:sz w:val="24"/>
                <w:szCs w:val="24"/>
              </w:rPr>
            </w:pPr>
            <w:r w:rsidRPr="00035673">
              <w:rPr>
                <w:rFonts w:ascii="Times New Roman" w:hAnsi="Times New Roman" w:cs="Times New Roman"/>
                <w:sz w:val="24"/>
                <w:szCs w:val="24"/>
              </w:rPr>
              <w:t>2.97</w:t>
            </w:r>
          </w:p>
        </w:tc>
      </w:tr>
    </w:tbl>
    <w:p w:rsidR="00035673" w:rsidRPr="00035673" w:rsidRDefault="00035673" w:rsidP="00035673">
      <w:pPr>
        <w:spacing w:before="100" w:beforeAutospacing="1" w:after="100" w:afterAutospacing="1" w:line="360" w:lineRule="auto"/>
        <w:jc w:val="both"/>
        <w:rPr>
          <w:rFonts w:ascii="Times New Roman" w:hAnsi="Times New Roman" w:cs="Times New Roman"/>
          <w:b/>
          <w:sz w:val="24"/>
          <w:szCs w:val="24"/>
        </w:rPr>
      </w:pPr>
    </w:p>
    <w:p w:rsidR="00035673" w:rsidRPr="00035673" w:rsidRDefault="00035673" w:rsidP="00035673">
      <w:pPr>
        <w:spacing w:before="100" w:beforeAutospacing="1" w:after="100" w:afterAutospacing="1" w:line="360" w:lineRule="auto"/>
        <w:jc w:val="both"/>
        <w:rPr>
          <w:rFonts w:ascii="Times New Roman" w:hAnsi="Times New Roman" w:cs="Times New Roman"/>
          <w:b/>
          <w:sz w:val="24"/>
          <w:szCs w:val="24"/>
        </w:rPr>
      </w:pPr>
      <w:r w:rsidRPr="00035673">
        <w:rPr>
          <w:rFonts w:ascii="Times New Roman" w:hAnsi="Times New Roman" w:cs="Times New Roman"/>
          <w:b/>
          <w:sz w:val="24"/>
          <w:szCs w:val="24"/>
        </w:rPr>
        <w:lastRenderedPageBreak/>
        <w:t>INTERPRETATION</w:t>
      </w:r>
    </w:p>
    <w:p w:rsidR="00035673" w:rsidRPr="00035673" w:rsidRDefault="00035673" w:rsidP="00035673">
      <w:pPr>
        <w:spacing w:before="100" w:beforeAutospacing="1" w:after="100" w:afterAutospacing="1" w:line="360" w:lineRule="auto"/>
        <w:jc w:val="both"/>
        <w:rPr>
          <w:rFonts w:ascii="Times New Roman" w:hAnsi="Times New Roman" w:cs="Times New Roman"/>
          <w:b/>
          <w:sz w:val="24"/>
          <w:szCs w:val="24"/>
        </w:rPr>
      </w:pPr>
      <w:r w:rsidRPr="00035673">
        <w:rPr>
          <w:rFonts w:ascii="Times New Roman" w:hAnsi="Times New Roman" w:cs="Times New Roman"/>
          <w:sz w:val="24"/>
          <w:szCs w:val="24"/>
        </w:rPr>
        <w:t xml:space="preserve">The above table 4.2.1 reveals the Gross Profit ratio in </w:t>
      </w:r>
      <w:proofErr w:type="spellStart"/>
      <w:r w:rsidRPr="00035673">
        <w:rPr>
          <w:rFonts w:ascii="Times New Roman" w:hAnsi="Times New Roman" w:cs="Times New Roman"/>
          <w:sz w:val="24"/>
          <w:szCs w:val="24"/>
        </w:rPr>
        <w:t>Kotak</w:t>
      </w:r>
      <w:proofErr w:type="spellEnd"/>
      <w:r w:rsidRPr="00035673">
        <w:rPr>
          <w:rFonts w:ascii="Times New Roman" w:hAnsi="Times New Roman" w:cs="Times New Roman"/>
          <w:sz w:val="24"/>
          <w:szCs w:val="24"/>
        </w:rPr>
        <w:t xml:space="preserve"> Mahindra Bank &amp; HDFC during the study period. The table shows the Gross Profit ratio of </w:t>
      </w:r>
      <w:proofErr w:type="spellStart"/>
      <w:r w:rsidRPr="00035673">
        <w:rPr>
          <w:rFonts w:ascii="Times New Roman" w:hAnsi="Times New Roman" w:cs="Times New Roman"/>
          <w:sz w:val="24"/>
          <w:szCs w:val="24"/>
        </w:rPr>
        <w:t>Kotak</w:t>
      </w:r>
      <w:proofErr w:type="spellEnd"/>
      <w:r w:rsidRPr="00035673">
        <w:rPr>
          <w:rFonts w:ascii="Times New Roman" w:hAnsi="Times New Roman" w:cs="Times New Roman"/>
          <w:sz w:val="24"/>
          <w:szCs w:val="24"/>
        </w:rPr>
        <w:t xml:space="preserve"> Mahindra Bank ranges from 0.24 in the year of 2017-2018 and gradually increases which results to 1.50 in the year of 2021-2022 and Gross Profit ratio of HDFC Bank ranges from 0.45 in the year of 2017-2018 and gradually increases which results to 2.97 in the year of 2021-2022</w:t>
      </w:r>
    </w:p>
    <w:p w:rsidR="00790258" w:rsidRPr="00790258" w:rsidRDefault="00790258" w:rsidP="00790258">
      <w:pPr>
        <w:spacing w:line="480" w:lineRule="auto"/>
        <w:jc w:val="center"/>
        <w:rPr>
          <w:rFonts w:ascii="Times New Roman" w:hAnsi="Times New Roman" w:cs="Times New Roman"/>
          <w:b/>
          <w:sz w:val="24"/>
          <w:szCs w:val="24"/>
        </w:rPr>
      </w:pPr>
      <w:r w:rsidRPr="00790258">
        <w:rPr>
          <w:rFonts w:ascii="Times New Roman" w:hAnsi="Times New Roman" w:cs="Times New Roman"/>
          <w:b/>
          <w:sz w:val="24"/>
          <w:szCs w:val="24"/>
        </w:rPr>
        <w:t>CHART NO.5 GROSS PROFIT RATIO</w:t>
      </w:r>
    </w:p>
    <w:p w:rsidR="00790258" w:rsidRPr="00790258" w:rsidRDefault="00790258" w:rsidP="00790258">
      <w:pPr>
        <w:spacing w:line="480" w:lineRule="auto"/>
        <w:jc w:val="center"/>
        <w:rPr>
          <w:rFonts w:ascii="Times New Roman" w:hAnsi="Times New Roman" w:cs="Times New Roman"/>
          <w:sz w:val="24"/>
          <w:szCs w:val="24"/>
        </w:rPr>
      </w:pPr>
      <w:r w:rsidRPr="00790258">
        <w:rPr>
          <w:rFonts w:ascii="Times New Roman" w:hAnsi="Times New Roman" w:cs="Times New Roman"/>
          <w:noProof/>
          <w:sz w:val="24"/>
          <w:szCs w:val="24"/>
          <w:lang w:bidi="ta-IN"/>
        </w:rPr>
        <w:drawing>
          <wp:inline distT="0" distB="0" distL="0" distR="0" wp14:anchorId="33B220DB" wp14:editId="53A349D3">
            <wp:extent cx="4330700" cy="2794000"/>
            <wp:effectExtent l="0" t="0" r="12700" b="2540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90258" w:rsidRDefault="00790258" w:rsidP="00790258">
      <w:pPr>
        <w:shd w:val="clear" w:color="auto" w:fill="FFFFFF"/>
        <w:tabs>
          <w:tab w:val="left" w:pos="4680"/>
        </w:tabs>
        <w:spacing w:before="100" w:beforeAutospacing="1" w:after="100" w:afterAutospacing="1" w:line="360" w:lineRule="auto"/>
        <w:contextualSpacing/>
        <w:jc w:val="both"/>
        <w:textAlignment w:val="baseline"/>
        <w:rPr>
          <w:rFonts w:ascii="Times New Roman" w:hAnsi="Times New Roman" w:cs="Times New Roman"/>
          <w:b/>
          <w:bCs/>
          <w:sz w:val="24"/>
          <w:szCs w:val="24"/>
          <w:bdr w:val="none" w:sz="0" w:space="0" w:color="auto" w:frame="1"/>
        </w:rPr>
      </w:pPr>
      <w:r>
        <w:rPr>
          <w:rFonts w:ascii="Times New Roman" w:hAnsi="Times New Roman" w:cs="Times New Roman"/>
          <w:b/>
          <w:bCs/>
          <w:sz w:val="24"/>
          <w:szCs w:val="24"/>
          <w:bdr w:val="none" w:sz="0" w:space="0" w:color="auto" w:frame="1"/>
        </w:rPr>
        <w:t>NET PROFIT RATIO</w:t>
      </w:r>
    </w:p>
    <w:p w:rsidR="00790258" w:rsidRPr="00AB15E8" w:rsidRDefault="00790258" w:rsidP="00790258">
      <w:pPr>
        <w:shd w:val="clear" w:color="auto" w:fill="FFFFFF"/>
        <w:spacing w:before="100" w:beforeAutospacing="1" w:after="100" w:afterAutospacing="1" w:line="360" w:lineRule="auto"/>
        <w:jc w:val="both"/>
        <w:textAlignment w:val="baseline"/>
        <w:rPr>
          <w:rFonts w:ascii="Times New Roman" w:hAnsi="Times New Roman" w:cs="Times New Roman"/>
          <w:sz w:val="24"/>
          <w:szCs w:val="24"/>
        </w:rPr>
      </w:pPr>
      <w:r w:rsidRPr="00AB15E8">
        <w:rPr>
          <w:rFonts w:ascii="Times New Roman" w:hAnsi="Times New Roman" w:cs="Times New Roman"/>
          <w:bCs/>
          <w:sz w:val="24"/>
          <w:szCs w:val="24"/>
          <w:bdr w:val="none" w:sz="0" w:space="0" w:color="auto" w:frame="1"/>
        </w:rPr>
        <w:t>Net profit ratio</w:t>
      </w:r>
      <w:r w:rsidRPr="00AB15E8">
        <w:rPr>
          <w:rFonts w:ascii="Times New Roman" w:hAnsi="Times New Roman" w:cs="Times New Roman"/>
          <w:sz w:val="24"/>
          <w:szCs w:val="24"/>
          <w:bdr w:val="none" w:sz="0" w:space="0" w:color="auto" w:frame="1"/>
        </w:rPr>
        <w:t> is the ratio of net profit (after taxes) to </w:t>
      </w:r>
      <w:r w:rsidRPr="00AB15E8">
        <w:rPr>
          <w:rFonts w:ascii="Times New Roman" w:hAnsi="Times New Roman" w:cs="Times New Roman"/>
          <w:sz w:val="24"/>
          <w:szCs w:val="24"/>
        </w:rPr>
        <w:t>net sales</w:t>
      </w:r>
      <w:r w:rsidRPr="00AB15E8">
        <w:rPr>
          <w:rFonts w:ascii="Times New Roman" w:hAnsi="Times New Roman" w:cs="Times New Roman"/>
          <w:sz w:val="24"/>
          <w:szCs w:val="24"/>
          <w:bdr w:val="none" w:sz="0" w:space="0" w:color="auto" w:frame="1"/>
        </w:rPr>
        <w:t>. It is expressed as percentage. The net profits are obtained after deducting</w:t>
      </w:r>
      <w:r w:rsidRPr="00AB15E8">
        <w:rPr>
          <w:rFonts w:ascii="Times New Roman" w:hAnsi="Times New Roman" w:cs="Times New Roman"/>
          <w:sz w:val="24"/>
          <w:szCs w:val="24"/>
        </w:rPr>
        <w:t> income</w:t>
      </w:r>
      <w:r w:rsidRPr="00AB15E8">
        <w:rPr>
          <w:rFonts w:ascii="Times New Roman" w:hAnsi="Times New Roman" w:cs="Times New Roman"/>
          <w:sz w:val="24"/>
          <w:szCs w:val="24"/>
          <w:bdr w:val="none" w:sz="0" w:space="0" w:color="auto" w:frame="1"/>
        </w:rPr>
        <w:t xml:space="preserve">-tax and, generally, </w:t>
      </w:r>
      <w:proofErr w:type="spellStart"/>
      <w:r w:rsidRPr="00AB15E8">
        <w:rPr>
          <w:rFonts w:ascii="Times New Roman" w:hAnsi="Times New Roman" w:cs="Times New Roman"/>
          <w:sz w:val="24"/>
          <w:szCs w:val="24"/>
          <w:bdr w:val="none" w:sz="0" w:space="0" w:color="auto" w:frame="1"/>
        </w:rPr>
        <w:t>non operating</w:t>
      </w:r>
      <w:proofErr w:type="spellEnd"/>
      <w:r w:rsidRPr="00AB15E8">
        <w:rPr>
          <w:rFonts w:ascii="Times New Roman" w:hAnsi="Times New Roman" w:cs="Times New Roman"/>
          <w:sz w:val="24"/>
          <w:szCs w:val="24"/>
          <w:bdr w:val="none" w:sz="0" w:space="0" w:color="auto" w:frame="1"/>
        </w:rPr>
        <w:t xml:space="preserve"> </w:t>
      </w:r>
      <w:r w:rsidRPr="00AB15E8">
        <w:rPr>
          <w:rFonts w:ascii="Times New Roman" w:hAnsi="Times New Roman" w:cs="Times New Roman"/>
          <w:sz w:val="24"/>
          <w:szCs w:val="24"/>
        </w:rPr>
        <w:t>expenses</w:t>
      </w:r>
      <w:proofErr w:type="gramStart"/>
      <w:r w:rsidRPr="00AB15E8">
        <w:rPr>
          <w:rFonts w:ascii="Times New Roman" w:hAnsi="Times New Roman" w:cs="Times New Roman"/>
          <w:sz w:val="24"/>
          <w:szCs w:val="24"/>
        </w:rPr>
        <w:t xml:space="preserve">  </w:t>
      </w:r>
      <w:r w:rsidRPr="00AB15E8">
        <w:rPr>
          <w:rFonts w:ascii="Times New Roman" w:hAnsi="Times New Roman" w:cs="Times New Roman"/>
          <w:sz w:val="24"/>
          <w:szCs w:val="24"/>
          <w:bdr w:val="none" w:sz="0" w:space="0" w:color="auto" w:frame="1"/>
        </w:rPr>
        <w:t>and</w:t>
      </w:r>
      <w:proofErr w:type="gramEnd"/>
      <w:r w:rsidRPr="00AB15E8">
        <w:rPr>
          <w:rFonts w:ascii="Times New Roman" w:hAnsi="Times New Roman" w:cs="Times New Roman"/>
          <w:sz w:val="24"/>
          <w:szCs w:val="24"/>
        </w:rPr>
        <w:t xml:space="preserve"> incomes </w:t>
      </w:r>
      <w:r w:rsidRPr="00AB15E8">
        <w:rPr>
          <w:rFonts w:ascii="Times New Roman" w:hAnsi="Times New Roman" w:cs="Times New Roman"/>
          <w:sz w:val="24"/>
          <w:szCs w:val="24"/>
          <w:bdr w:val="none" w:sz="0" w:space="0" w:color="auto" w:frame="1"/>
        </w:rPr>
        <w:t>are excluded from the net profits for calculating this ratio. This ratio determines the overall efficiency of the business. The relationship of net profit to sales is known as net profit ratio.</w:t>
      </w:r>
    </w:p>
    <w:p w:rsidR="00790258" w:rsidRDefault="00790258" w:rsidP="00790258">
      <w:pPr>
        <w:spacing w:line="360" w:lineRule="auto"/>
        <w:ind w:firstLine="360"/>
        <w:jc w:val="both"/>
        <w:rPr>
          <w:rFonts w:ascii="Times New Roman" w:eastAsia="Times New Roman" w:hAnsi="Times New Roman" w:cs="Times New Roman"/>
          <w:b/>
          <w:bCs/>
          <w:color w:val="222222"/>
          <w:sz w:val="24"/>
          <w:szCs w:val="24"/>
        </w:rPr>
      </w:pPr>
      <w:r w:rsidRPr="00C97149">
        <w:rPr>
          <w:rFonts w:ascii="Times New Roman" w:eastAsia="Times New Roman" w:hAnsi="Times New Roman" w:cs="Times New Roman"/>
          <w:b/>
          <w:bCs/>
          <w:color w:val="222222"/>
          <w:sz w:val="24"/>
          <w:szCs w:val="24"/>
        </w:rPr>
        <w:t xml:space="preserve">Net </w:t>
      </w:r>
      <w:r>
        <w:rPr>
          <w:rFonts w:ascii="Times New Roman" w:eastAsia="Times New Roman" w:hAnsi="Times New Roman" w:cs="Times New Roman"/>
          <w:b/>
          <w:bCs/>
          <w:color w:val="222222"/>
          <w:sz w:val="24"/>
          <w:szCs w:val="24"/>
        </w:rPr>
        <w:t>Profit Ratio = (Net Profit / Net sales</w:t>
      </w:r>
      <w:r w:rsidRPr="00C97149">
        <w:rPr>
          <w:rFonts w:ascii="Times New Roman" w:eastAsia="Times New Roman" w:hAnsi="Times New Roman" w:cs="Times New Roman"/>
          <w:b/>
          <w:bCs/>
          <w:color w:val="222222"/>
          <w:sz w:val="24"/>
          <w:szCs w:val="24"/>
        </w:rPr>
        <w:t>) x 100</w:t>
      </w:r>
    </w:p>
    <w:p w:rsidR="00790258" w:rsidRDefault="00790258" w:rsidP="00790258">
      <w:pPr>
        <w:spacing w:line="480" w:lineRule="auto"/>
        <w:jc w:val="center"/>
        <w:rPr>
          <w:b/>
        </w:rPr>
      </w:pPr>
    </w:p>
    <w:p w:rsidR="00790258" w:rsidRDefault="00790258" w:rsidP="00790258">
      <w:pPr>
        <w:spacing w:line="480" w:lineRule="auto"/>
        <w:jc w:val="center"/>
        <w:rPr>
          <w:b/>
        </w:rPr>
      </w:pPr>
    </w:p>
    <w:p w:rsidR="00790258" w:rsidRDefault="00790258" w:rsidP="00790258">
      <w:pPr>
        <w:spacing w:line="480" w:lineRule="auto"/>
        <w:jc w:val="center"/>
        <w:rPr>
          <w:b/>
        </w:rPr>
      </w:pPr>
    </w:p>
    <w:p w:rsidR="00790258" w:rsidRPr="00790258" w:rsidRDefault="00790258" w:rsidP="00790258">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NO</w:t>
      </w:r>
      <w:r w:rsidRPr="00790258">
        <w:rPr>
          <w:rFonts w:ascii="Times New Roman" w:hAnsi="Times New Roman" w:cs="Times New Roman"/>
          <w:b/>
          <w:sz w:val="24"/>
          <w:szCs w:val="24"/>
        </w:rPr>
        <w:t>.6 NET PROFIT RATIO</w:t>
      </w:r>
    </w:p>
    <w:tbl>
      <w:tblPr>
        <w:tblStyle w:val="TableGrid"/>
        <w:tblW w:w="7445" w:type="dxa"/>
        <w:jc w:val="center"/>
        <w:tblLook w:val="04A0" w:firstRow="1" w:lastRow="0" w:firstColumn="1" w:lastColumn="0" w:noHBand="0" w:noVBand="1"/>
      </w:tblPr>
      <w:tblGrid>
        <w:gridCol w:w="2319"/>
        <w:gridCol w:w="2563"/>
        <w:gridCol w:w="2563"/>
      </w:tblGrid>
      <w:tr w:rsidR="00790258" w:rsidRPr="00790258" w:rsidTr="00790258">
        <w:trPr>
          <w:trHeight w:val="565"/>
          <w:jc w:val="center"/>
        </w:trPr>
        <w:tc>
          <w:tcPr>
            <w:tcW w:w="2319"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b/>
                <w:sz w:val="24"/>
                <w:szCs w:val="24"/>
              </w:rPr>
            </w:pPr>
            <w:r w:rsidRPr="00790258">
              <w:rPr>
                <w:rFonts w:ascii="Times New Roman" w:hAnsi="Times New Roman" w:cs="Times New Roman"/>
                <w:b/>
                <w:sz w:val="24"/>
                <w:szCs w:val="24"/>
              </w:rPr>
              <w:t>Year</w:t>
            </w:r>
          </w:p>
        </w:tc>
        <w:tc>
          <w:tcPr>
            <w:tcW w:w="2563" w:type="dxa"/>
            <w:vAlign w:val="center"/>
          </w:tcPr>
          <w:p w:rsidR="00790258" w:rsidRPr="00790258" w:rsidRDefault="00790258" w:rsidP="00F42BB2">
            <w:pPr>
              <w:spacing w:before="100" w:beforeAutospacing="1" w:after="100" w:afterAutospacing="1"/>
              <w:ind w:right="-90"/>
              <w:contextualSpacing/>
              <w:jc w:val="center"/>
              <w:rPr>
                <w:rFonts w:ascii="Times New Roman" w:hAnsi="Times New Roman" w:cs="Times New Roman"/>
                <w:b/>
                <w:sz w:val="24"/>
                <w:szCs w:val="24"/>
              </w:rPr>
            </w:pPr>
            <w:r w:rsidRPr="00790258">
              <w:rPr>
                <w:rFonts w:ascii="Times New Roman" w:hAnsi="Times New Roman" w:cs="Times New Roman"/>
                <w:b/>
                <w:bCs/>
                <w:sz w:val="24"/>
                <w:szCs w:val="24"/>
                <w:bdr w:val="none" w:sz="0" w:space="0" w:color="auto" w:frame="1"/>
              </w:rPr>
              <w:t>Net Profit Ratio </w:t>
            </w:r>
            <w:proofErr w:type="spellStart"/>
            <w:r w:rsidRPr="00790258">
              <w:rPr>
                <w:rFonts w:ascii="Times New Roman" w:hAnsi="Times New Roman" w:cs="Times New Roman"/>
                <w:b/>
                <w:sz w:val="24"/>
                <w:szCs w:val="24"/>
              </w:rPr>
              <w:t>Kotak</w:t>
            </w:r>
            <w:proofErr w:type="spellEnd"/>
            <w:r w:rsidRPr="00790258">
              <w:rPr>
                <w:rFonts w:ascii="Times New Roman" w:hAnsi="Times New Roman" w:cs="Times New Roman"/>
                <w:b/>
                <w:sz w:val="24"/>
                <w:szCs w:val="24"/>
              </w:rPr>
              <w:t xml:space="preserve"> Mahindra Bank</w:t>
            </w:r>
          </w:p>
          <w:p w:rsidR="00790258" w:rsidRPr="00790258" w:rsidRDefault="00790258" w:rsidP="00F42BB2">
            <w:pPr>
              <w:spacing w:before="100" w:beforeAutospacing="1" w:after="100" w:afterAutospacing="1"/>
              <w:ind w:right="-90"/>
              <w:contextualSpacing/>
              <w:jc w:val="center"/>
              <w:rPr>
                <w:rFonts w:ascii="Times New Roman" w:hAnsi="Times New Roman" w:cs="Times New Roman"/>
                <w:b/>
                <w:sz w:val="24"/>
                <w:szCs w:val="24"/>
              </w:rPr>
            </w:pPr>
            <w:r w:rsidRPr="00790258">
              <w:rPr>
                <w:rFonts w:ascii="Times New Roman" w:hAnsi="Times New Roman" w:cs="Times New Roman"/>
                <w:b/>
                <w:sz w:val="24"/>
                <w:szCs w:val="24"/>
              </w:rPr>
              <w:t xml:space="preserve">(in </w:t>
            </w:r>
            <w:proofErr w:type="spellStart"/>
            <w:r w:rsidRPr="00790258">
              <w:rPr>
                <w:rFonts w:ascii="Times New Roman" w:hAnsi="Times New Roman" w:cs="Times New Roman"/>
                <w:b/>
                <w:sz w:val="24"/>
                <w:szCs w:val="24"/>
              </w:rPr>
              <w:t>crores</w:t>
            </w:r>
            <w:proofErr w:type="spellEnd"/>
            <w:r w:rsidRPr="00790258">
              <w:rPr>
                <w:rFonts w:ascii="Times New Roman" w:hAnsi="Times New Roman" w:cs="Times New Roman"/>
                <w:b/>
                <w:sz w:val="24"/>
                <w:szCs w:val="24"/>
              </w:rPr>
              <w:t>)</w:t>
            </w:r>
          </w:p>
        </w:tc>
        <w:tc>
          <w:tcPr>
            <w:tcW w:w="2563" w:type="dxa"/>
            <w:vAlign w:val="center"/>
          </w:tcPr>
          <w:p w:rsidR="00790258" w:rsidRPr="00790258" w:rsidRDefault="00790258" w:rsidP="00F42BB2">
            <w:pPr>
              <w:spacing w:before="100" w:beforeAutospacing="1" w:after="100" w:afterAutospacing="1"/>
              <w:ind w:right="-90"/>
              <w:contextualSpacing/>
              <w:jc w:val="center"/>
              <w:rPr>
                <w:rFonts w:ascii="Times New Roman" w:hAnsi="Times New Roman" w:cs="Times New Roman"/>
                <w:b/>
                <w:sz w:val="24"/>
                <w:szCs w:val="24"/>
              </w:rPr>
            </w:pPr>
            <w:r w:rsidRPr="00790258">
              <w:rPr>
                <w:rFonts w:ascii="Times New Roman" w:hAnsi="Times New Roman" w:cs="Times New Roman"/>
                <w:b/>
                <w:bCs/>
                <w:sz w:val="24"/>
                <w:szCs w:val="24"/>
                <w:bdr w:val="none" w:sz="0" w:space="0" w:color="auto" w:frame="1"/>
              </w:rPr>
              <w:t xml:space="preserve">Net Profit Ratio </w:t>
            </w:r>
            <w:r w:rsidRPr="00790258">
              <w:rPr>
                <w:rFonts w:ascii="Times New Roman" w:hAnsi="Times New Roman" w:cs="Times New Roman"/>
                <w:b/>
                <w:sz w:val="24"/>
                <w:szCs w:val="24"/>
              </w:rPr>
              <w:t>HDFC</w:t>
            </w:r>
          </w:p>
          <w:p w:rsidR="00790258" w:rsidRPr="00790258" w:rsidRDefault="00790258" w:rsidP="00F42BB2">
            <w:pPr>
              <w:contextualSpacing/>
              <w:jc w:val="center"/>
              <w:rPr>
                <w:rFonts w:ascii="Times New Roman" w:hAnsi="Times New Roman" w:cs="Times New Roman"/>
                <w:b/>
                <w:sz w:val="24"/>
                <w:szCs w:val="24"/>
              </w:rPr>
            </w:pPr>
            <w:r w:rsidRPr="00790258">
              <w:rPr>
                <w:rFonts w:ascii="Times New Roman" w:hAnsi="Times New Roman" w:cs="Times New Roman"/>
                <w:b/>
                <w:sz w:val="24"/>
                <w:szCs w:val="24"/>
              </w:rPr>
              <w:t xml:space="preserve">(in </w:t>
            </w:r>
            <w:proofErr w:type="spellStart"/>
            <w:r w:rsidRPr="00790258">
              <w:rPr>
                <w:rFonts w:ascii="Times New Roman" w:hAnsi="Times New Roman" w:cs="Times New Roman"/>
                <w:b/>
                <w:sz w:val="24"/>
                <w:szCs w:val="24"/>
              </w:rPr>
              <w:t>crores</w:t>
            </w:r>
            <w:proofErr w:type="spellEnd"/>
            <w:r w:rsidRPr="00790258">
              <w:rPr>
                <w:rFonts w:ascii="Times New Roman" w:hAnsi="Times New Roman" w:cs="Times New Roman"/>
                <w:b/>
                <w:sz w:val="24"/>
                <w:szCs w:val="24"/>
              </w:rPr>
              <w:t>)</w:t>
            </w:r>
          </w:p>
        </w:tc>
      </w:tr>
      <w:tr w:rsidR="00790258" w:rsidRPr="00790258" w:rsidTr="00790258">
        <w:trPr>
          <w:trHeight w:val="499"/>
          <w:jc w:val="center"/>
        </w:trPr>
        <w:tc>
          <w:tcPr>
            <w:tcW w:w="2319"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b/>
                <w:sz w:val="24"/>
                <w:szCs w:val="24"/>
              </w:rPr>
            </w:pPr>
            <w:r w:rsidRPr="00790258">
              <w:rPr>
                <w:rFonts w:ascii="Times New Roman" w:hAnsi="Times New Roman" w:cs="Times New Roman"/>
                <w:b/>
                <w:sz w:val="24"/>
                <w:szCs w:val="24"/>
              </w:rPr>
              <w:t>2017-2018</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20.68</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21.79</w:t>
            </w:r>
          </w:p>
        </w:tc>
      </w:tr>
      <w:tr w:rsidR="00790258" w:rsidRPr="00790258" w:rsidTr="00790258">
        <w:trPr>
          <w:trHeight w:val="499"/>
          <w:jc w:val="center"/>
        </w:trPr>
        <w:tc>
          <w:tcPr>
            <w:tcW w:w="2319"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b/>
                <w:sz w:val="24"/>
                <w:szCs w:val="24"/>
              </w:rPr>
            </w:pPr>
            <w:r w:rsidRPr="00790258">
              <w:rPr>
                <w:rFonts w:ascii="Times New Roman" w:hAnsi="Times New Roman" w:cs="Times New Roman"/>
                <w:b/>
                <w:sz w:val="24"/>
                <w:szCs w:val="24"/>
              </w:rPr>
              <w:t>2018-2019</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20.32</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21.29</w:t>
            </w:r>
          </w:p>
        </w:tc>
      </w:tr>
      <w:tr w:rsidR="00790258" w:rsidRPr="00790258" w:rsidTr="00790258">
        <w:trPr>
          <w:trHeight w:val="499"/>
          <w:jc w:val="center"/>
        </w:trPr>
        <w:tc>
          <w:tcPr>
            <w:tcW w:w="2319"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b/>
                <w:sz w:val="24"/>
                <w:szCs w:val="24"/>
              </w:rPr>
            </w:pPr>
            <w:r w:rsidRPr="00790258">
              <w:rPr>
                <w:rFonts w:ascii="Times New Roman" w:hAnsi="Times New Roman" w:cs="Times New Roman"/>
                <w:b/>
                <w:sz w:val="24"/>
                <w:szCs w:val="24"/>
              </w:rPr>
              <w:t>2019-2020</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22.08</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22.86</w:t>
            </w:r>
          </w:p>
        </w:tc>
      </w:tr>
      <w:tr w:rsidR="00790258" w:rsidRPr="00790258" w:rsidTr="00790258">
        <w:trPr>
          <w:trHeight w:val="499"/>
          <w:jc w:val="center"/>
        </w:trPr>
        <w:tc>
          <w:tcPr>
            <w:tcW w:w="2319"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b/>
                <w:sz w:val="24"/>
                <w:szCs w:val="24"/>
              </w:rPr>
            </w:pPr>
            <w:r w:rsidRPr="00790258">
              <w:rPr>
                <w:rFonts w:ascii="Times New Roman" w:hAnsi="Times New Roman" w:cs="Times New Roman"/>
                <w:b/>
                <w:sz w:val="24"/>
                <w:szCs w:val="24"/>
              </w:rPr>
              <w:t>2020-2021</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25.94</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25.74</w:t>
            </w:r>
          </w:p>
        </w:tc>
      </w:tr>
      <w:tr w:rsidR="00790258" w:rsidRPr="00790258" w:rsidTr="00790258">
        <w:trPr>
          <w:trHeight w:val="518"/>
          <w:jc w:val="center"/>
        </w:trPr>
        <w:tc>
          <w:tcPr>
            <w:tcW w:w="2319"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b/>
                <w:sz w:val="24"/>
                <w:szCs w:val="24"/>
              </w:rPr>
            </w:pPr>
            <w:r w:rsidRPr="00790258">
              <w:rPr>
                <w:rFonts w:ascii="Times New Roman" w:hAnsi="Times New Roman" w:cs="Times New Roman"/>
                <w:b/>
                <w:sz w:val="24"/>
                <w:szCs w:val="24"/>
              </w:rPr>
              <w:t>2021-2022</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31.70</w:t>
            </w:r>
          </w:p>
        </w:tc>
        <w:tc>
          <w:tcPr>
            <w:tcW w:w="2563" w:type="dxa"/>
            <w:vAlign w:val="center"/>
          </w:tcPr>
          <w:p w:rsidR="00790258" w:rsidRPr="00790258" w:rsidRDefault="00790258" w:rsidP="00F42BB2">
            <w:pPr>
              <w:spacing w:before="100" w:beforeAutospacing="1" w:after="100" w:afterAutospacing="1" w:line="480" w:lineRule="auto"/>
              <w:ind w:right="-90"/>
              <w:jc w:val="center"/>
              <w:rPr>
                <w:rFonts w:ascii="Times New Roman" w:hAnsi="Times New Roman" w:cs="Times New Roman"/>
                <w:sz w:val="24"/>
                <w:szCs w:val="24"/>
              </w:rPr>
            </w:pPr>
            <w:r w:rsidRPr="00790258">
              <w:rPr>
                <w:rFonts w:ascii="Times New Roman" w:hAnsi="Times New Roman" w:cs="Times New Roman"/>
                <w:sz w:val="24"/>
                <w:szCs w:val="24"/>
              </w:rPr>
              <w:t>28.93</w:t>
            </w:r>
          </w:p>
        </w:tc>
      </w:tr>
    </w:tbl>
    <w:p w:rsidR="00790258" w:rsidRPr="00790258" w:rsidRDefault="00790258" w:rsidP="00790258">
      <w:pPr>
        <w:spacing w:before="100" w:beforeAutospacing="1" w:after="100" w:afterAutospacing="1" w:line="360" w:lineRule="auto"/>
        <w:jc w:val="both"/>
        <w:rPr>
          <w:rFonts w:ascii="Times New Roman" w:hAnsi="Times New Roman" w:cs="Times New Roman"/>
          <w:b/>
          <w:sz w:val="24"/>
          <w:szCs w:val="24"/>
        </w:rPr>
      </w:pPr>
      <w:r w:rsidRPr="00790258">
        <w:rPr>
          <w:rFonts w:ascii="Times New Roman" w:hAnsi="Times New Roman" w:cs="Times New Roman"/>
          <w:b/>
          <w:sz w:val="24"/>
          <w:szCs w:val="24"/>
        </w:rPr>
        <w:t>INTERPRETATION</w:t>
      </w:r>
    </w:p>
    <w:p w:rsidR="00790258" w:rsidRDefault="00790258" w:rsidP="00790258">
      <w:pPr>
        <w:spacing w:before="100" w:beforeAutospacing="1" w:after="100" w:afterAutospacing="1" w:line="360" w:lineRule="auto"/>
        <w:jc w:val="both"/>
        <w:rPr>
          <w:rFonts w:ascii="Times New Roman" w:hAnsi="Times New Roman" w:cs="Times New Roman"/>
          <w:sz w:val="24"/>
          <w:szCs w:val="24"/>
        </w:rPr>
      </w:pPr>
      <w:r w:rsidRPr="00790258">
        <w:rPr>
          <w:rFonts w:ascii="Times New Roman" w:hAnsi="Times New Roman" w:cs="Times New Roman"/>
          <w:sz w:val="24"/>
          <w:szCs w:val="24"/>
        </w:rPr>
        <w:t xml:space="preserve">The above table </w:t>
      </w:r>
      <w:proofErr w:type="gramStart"/>
      <w:r w:rsidRPr="00790258">
        <w:rPr>
          <w:rFonts w:ascii="Times New Roman" w:hAnsi="Times New Roman" w:cs="Times New Roman"/>
          <w:sz w:val="24"/>
          <w:szCs w:val="24"/>
        </w:rPr>
        <w:t>4.2.2  reveals</w:t>
      </w:r>
      <w:proofErr w:type="gramEnd"/>
      <w:r w:rsidRPr="00790258">
        <w:rPr>
          <w:rFonts w:ascii="Times New Roman" w:hAnsi="Times New Roman" w:cs="Times New Roman"/>
          <w:sz w:val="24"/>
          <w:szCs w:val="24"/>
        </w:rPr>
        <w:t xml:space="preserve"> the Net Profit Ratio in </w:t>
      </w:r>
      <w:proofErr w:type="spellStart"/>
      <w:r w:rsidRPr="00790258">
        <w:rPr>
          <w:rFonts w:ascii="Times New Roman" w:hAnsi="Times New Roman" w:cs="Times New Roman"/>
          <w:sz w:val="24"/>
          <w:szCs w:val="24"/>
        </w:rPr>
        <w:t>Kotak</w:t>
      </w:r>
      <w:proofErr w:type="spellEnd"/>
      <w:r w:rsidRPr="00790258">
        <w:rPr>
          <w:rFonts w:ascii="Times New Roman" w:hAnsi="Times New Roman" w:cs="Times New Roman"/>
          <w:sz w:val="24"/>
          <w:szCs w:val="24"/>
        </w:rPr>
        <w:t xml:space="preserve"> Mahindra Bank &amp; HDFC during the study period. The table shows the Net Profit Ratio of </w:t>
      </w:r>
      <w:proofErr w:type="spellStart"/>
      <w:r w:rsidRPr="00790258">
        <w:rPr>
          <w:rFonts w:ascii="Times New Roman" w:hAnsi="Times New Roman" w:cs="Times New Roman"/>
          <w:sz w:val="24"/>
          <w:szCs w:val="24"/>
        </w:rPr>
        <w:t>Kotak</w:t>
      </w:r>
      <w:proofErr w:type="spellEnd"/>
      <w:r w:rsidRPr="00790258">
        <w:rPr>
          <w:rFonts w:ascii="Times New Roman" w:hAnsi="Times New Roman" w:cs="Times New Roman"/>
          <w:sz w:val="24"/>
          <w:szCs w:val="24"/>
        </w:rPr>
        <w:t xml:space="preserve"> Mahindra Bank ranges from 20.68 in the year of 2017-2018 and gradually increases which results to 31.70 in the year of 2021-2022 and Net Profit Ratio of HDFC bank ranges from 21.79 in the year of 2017-2018 and gradually increases which results to 28.93 in the year of 2021-2022.</w:t>
      </w:r>
    </w:p>
    <w:p w:rsidR="00790258" w:rsidRPr="00790258" w:rsidRDefault="00790258" w:rsidP="00790258">
      <w:pPr>
        <w:spacing w:before="100" w:beforeAutospacing="1" w:after="100" w:afterAutospacing="1" w:line="360" w:lineRule="auto"/>
        <w:jc w:val="center"/>
        <w:rPr>
          <w:rFonts w:ascii="Times New Roman" w:hAnsi="Times New Roman" w:cs="Times New Roman"/>
          <w:b/>
          <w:sz w:val="24"/>
          <w:szCs w:val="24"/>
        </w:rPr>
      </w:pPr>
      <w:r>
        <w:rPr>
          <w:rFonts w:ascii="Times New Roman" w:hAnsi="Times New Roman" w:cs="Times New Roman"/>
          <w:b/>
          <w:sz w:val="24"/>
          <w:szCs w:val="24"/>
        </w:rPr>
        <w:t>CHART NO</w:t>
      </w:r>
      <w:r w:rsidRPr="00790258">
        <w:rPr>
          <w:rFonts w:ascii="Times New Roman" w:hAnsi="Times New Roman" w:cs="Times New Roman"/>
          <w:b/>
          <w:sz w:val="24"/>
          <w:szCs w:val="24"/>
        </w:rPr>
        <w:t>.6 NET PROFIT RATIO</w:t>
      </w:r>
    </w:p>
    <w:p w:rsidR="00790258" w:rsidRDefault="00790258" w:rsidP="00790258">
      <w:pPr>
        <w:spacing w:before="100" w:beforeAutospacing="1" w:after="100" w:afterAutospacing="1" w:line="360" w:lineRule="auto"/>
        <w:jc w:val="center"/>
        <w:rPr>
          <w:rFonts w:ascii="Times New Roman" w:hAnsi="Times New Roman" w:cs="Times New Roman"/>
          <w:b/>
          <w:sz w:val="24"/>
          <w:szCs w:val="24"/>
        </w:rPr>
      </w:pPr>
      <w:r w:rsidRPr="00790258">
        <w:rPr>
          <w:rFonts w:ascii="Times New Roman" w:hAnsi="Times New Roman" w:cs="Times New Roman"/>
          <w:noProof/>
          <w:sz w:val="24"/>
          <w:szCs w:val="24"/>
          <w:lang w:bidi="ta-IN"/>
        </w:rPr>
        <w:drawing>
          <wp:inline distT="0" distB="0" distL="0" distR="0" wp14:anchorId="15C970E8" wp14:editId="6BFD219C">
            <wp:extent cx="5016500" cy="2959100"/>
            <wp:effectExtent l="0" t="0" r="12700" b="1270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90258" w:rsidRDefault="00790258" w:rsidP="00790258">
      <w:pPr>
        <w:spacing w:before="100" w:beforeAutospacing="1" w:after="100" w:afterAutospacing="1" w:line="360" w:lineRule="auto"/>
        <w:jc w:val="center"/>
        <w:rPr>
          <w:rFonts w:ascii="Times New Roman" w:hAnsi="Times New Roman" w:cs="Times New Roman"/>
          <w:b/>
          <w:sz w:val="24"/>
          <w:szCs w:val="24"/>
        </w:rPr>
      </w:pPr>
    </w:p>
    <w:p w:rsidR="00790258" w:rsidRPr="00C97149" w:rsidRDefault="00790258" w:rsidP="0032614A">
      <w:pPr>
        <w:spacing w:line="360" w:lineRule="auto"/>
        <w:jc w:val="both"/>
        <w:rPr>
          <w:rFonts w:ascii="Times New Roman" w:hAnsi="Times New Roman" w:cs="Times New Roman"/>
          <w:b/>
          <w:bCs/>
          <w:sz w:val="24"/>
          <w:szCs w:val="24"/>
        </w:rPr>
      </w:pPr>
      <w:r w:rsidRPr="00C97149">
        <w:rPr>
          <w:rFonts w:ascii="Times New Roman" w:hAnsi="Times New Roman" w:cs="Times New Roman"/>
          <w:b/>
          <w:bCs/>
          <w:sz w:val="24"/>
          <w:szCs w:val="24"/>
        </w:rPr>
        <w:lastRenderedPageBreak/>
        <w:t>FINDINGS</w:t>
      </w:r>
    </w:p>
    <w:p w:rsidR="00790258" w:rsidRPr="005E6FBB" w:rsidRDefault="00790258" w:rsidP="0032614A">
      <w:pPr>
        <w:pStyle w:val="ListParagraph"/>
        <w:numPr>
          <w:ilvl w:val="0"/>
          <w:numId w:val="2"/>
        </w:numPr>
        <w:spacing w:after="0" w:line="360" w:lineRule="auto"/>
        <w:contextualSpacing w:val="0"/>
        <w:jc w:val="both"/>
        <w:rPr>
          <w:rFonts w:ascii="Times New Roman" w:hAnsi="Times New Roman" w:cs="Times New Roman"/>
          <w:b/>
          <w:sz w:val="24"/>
          <w:szCs w:val="24"/>
        </w:rPr>
      </w:pPr>
      <w:r w:rsidRPr="005E6FBB">
        <w:rPr>
          <w:rFonts w:ascii="Times New Roman" w:hAnsi="Times New Roman" w:cs="Times New Roman"/>
          <w:sz w:val="24"/>
          <w:szCs w:val="24"/>
        </w:rPr>
        <w:t xml:space="preserve">The Current Ratio of the </w:t>
      </w:r>
      <w:proofErr w:type="spellStart"/>
      <w:r w:rsidRPr="005E6FBB">
        <w:rPr>
          <w:rFonts w:ascii="Times New Roman" w:hAnsi="Times New Roman" w:cs="Times New Roman"/>
          <w:sz w:val="24"/>
          <w:szCs w:val="24"/>
        </w:rPr>
        <w:t>Kotak</w:t>
      </w:r>
      <w:proofErr w:type="spellEnd"/>
      <w:r w:rsidRPr="005E6FBB">
        <w:rPr>
          <w:rFonts w:ascii="Times New Roman" w:hAnsi="Times New Roman" w:cs="Times New Roman"/>
          <w:sz w:val="24"/>
          <w:szCs w:val="24"/>
        </w:rPr>
        <w:t xml:space="preserve"> Mahindra Bank was highest 1.50 in the year of 2021-2022 and lowest 1.05 in the year of 2017-2018. It is growing every year so it is satisfactory.</w:t>
      </w:r>
    </w:p>
    <w:p w:rsidR="00790258" w:rsidRPr="005E6FBB" w:rsidRDefault="00790258" w:rsidP="0032614A">
      <w:pPr>
        <w:pStyle w:val="ListParagraph"/>
        <w:numPr>
          <w:ilvl w:val="0"/>
          <w:numId w:val="2"/>
        </w:numPr>
        <w:spacing w:after="0" w:line="360" w:lineRule="auto"/>
        <w:contextualSpacing w:val="0"/>
        <w:jc w:val="both"/>
        <w:rPr>
          <w:rFonts w:ascii="Times New Roman" w:hAnsi="Times New Roman" w:cs="Times New Roman"/>
          <w:b/>
          <w:sz w:val="24"/>
          <w:szCs w:val="24"/>
        </w:rPr>
      </w:pPr>
      <w:r w:rsidRPr="005E6FBB">
        <w:rPr>
          <w:rFonts w:ascii="Times New Roman" w:hAnsi="Times New Roman" w:cs="Times New Roman"/>
          <w:sz w:val="24"/>
          <w:szCs w:val="24"/>
        </w:rPr>
        <w:t xml:space="preserve">The Quick Ratio of the HDFC Bank was highest 0.05 in the year of 2017-2018 and lowest 0.04 in the year of 2019-2020. The ratio was ups and down in these years </w:t>
      </w:r>
      <w:proofErr w:type="gramStart"/>
      <w:r w:rsidRPr="005E6FBB">
        <w:rPr>
          <w:rFonts w:ascii="Times New Roman" w:hAnsi="Times New Roman" w:cs="Times New Roman"/>
          <w:sz w:val="24"/>
          <w:szCs w:val="24"/>
        </w:rPr>
        <w:t>So</w:t>
      </w:r>
      <w:proofErr w:type="gramEnd"/>
      <w:r w:rsidRPr="005E6FBB">
        <w:rPr>
          <w:rFonts w:ascii="Times New Roman" w:hAnsi="Times New Roman" w:cs="Times New Roman"/>
          <w:sz w:val="24"/>
          <w:szCs w:val="24"/>
        </w:rPr>
        <w:t xml:space="preserve"> the ratio was not satisfactory.</w:t>
      </w:r>
    </w:p>
    <w:p w:rsidR="00790258" w:rsidRPr="005E6FBB" w:rsidRDefault="00790258" w:rsidP="0032614A">
      <w:pPr>
        <w:pStyle w:val="ListParagraph"/>
        <w:numPr>
          <w:ilvl w:val="0"/>
          <w:numId w:val="2"/>
        </w:numPr>
        <w:spacing w:after="0" w:line="360" w:lineRule="auto"/>
        <w:contextualSpacing w:val="0"/>
        <w:jc w:val="both"/>
        <w:rPr>
          <w:rFonts w:ascii="Times New Roman" w:hAnsi="Times New Roman" w:cs="Times New Roman"/>
          <w:b/>
          <w:sz w:val="24"/>
          <w:szCs w:val="24"/>
        </w:rPr>
      </w:pPr>
      <w:r w:rsidRPr="005E6FBB">
        <w:rPr>
          <w:rFonts w:ascii="Times New Roman" w:hAnsi="Times New Roman" w:cs="Times New Roman"/>
          <w:sz w:val="24"/>
          <w:szCs w:val="24"/>
        </w:rPr>
        <w:t xml:space="preserve">The Absolute Liquid Ratio of the </w:t>
      </w:r>
      <w:proofErr w:type="spellStart"/>
      <w:r w:rsidRPr="005E6FBB">
        <w:rPr>
          <w:rFonts w:ascii="Times New Roman" w:hAnsi="Times New Roman" w:cs="Times New Roman"/>
          <w:sz w:val="24"/>
          <w:szCs w:val="24"/>
        </w:rPr>
        <w:t>Kotak</w:t>
      </w:r>
      <w:proofErr w:type="spellEnd"/>
      <w:r w:rsidRPr="005E6FBB">
        <w:rPr>
          <w:rFonts w:ascii="Times New Roman" w:hAnsi="Times New Roman" w:cs="Times New Roman"/>
          <w:sz w:val="24"/>
          <w:szCs w:val="24"/>
        </w:rPr>
        <w:t xml:space="preserve"> Mahindra Bank was highest 0.89 in the year of 2020-2021 and lowest 0.67 in the year of 2019-2020. It is growing every year so it is satisfactory.</w:t>
      </w:r>
    </w:p>
    <w:p w:rsidR="00790258" w:rsidRPr="005E6FBB" w:rsidRDefault="00790258" w:rsidP="0032614A">
      <w:pPr>
        <w:pStyle w:val="ListParagraph"/>
        <w:numPr>
          <w:ilvl w:val="0"/>
          <w:numId w:val="2"/>
        </w:numPr>
        <w:spacing w:after="0" w:line="360" w:lineRule="auto"/>
        <w:contextualSpacing w:val="0"/>
        <w:jc w:val="both"/>
        <w:rPr>
          <w:rFonts w:ascii="Times New Roman" w:hAnsi="Times New Roman" w:cs="Times New Roman"/>
          <w:b/>
          <w:sz w:val="24"/>
          <w:szCs w:val="24"/>
        </w:rPr>
      </w:pPr>
      <w:r w:rsidRPr="005E6FBB">
        <w:rPr>
          <w:rFonts w:ascii="Times New Roman" w:hAnsi="Times New Roman" w:cs="Times New Roman"/>
          <w:sz w:val="24"/>
          <w:szCs w:val="24"/>
        </w:rPr>
        <w:t xml:space="preserve">The Gross Profit Ratio of the </w:t>
      </w:r>
      <w:proofErr w:type="spellStart"/>
      <w:r w:rsidRPr="005E6FBB">
        <w:rPr>
          <w:rFonts w:ascii="Times New Roman" w:hAnsi="Times New Roman" w:cs="Times New Roman"/>
          <w:sz w:val="24"/>
          <w:szCs w:val="24"/>
        </w:rPr>
        <w:t>Kotak</w:t>
      </w:r>
      <w:proofErr w:type="spellEnd"/>
      <w:r w:rsidRPr="005E6FBB">
        <w:rPr>
          <w:rFonts w:ascii="Times New Roman" w:hAnsi="Times New Roman" w:cs="Times New Roman"/>
          <w:sz w:val="24"/>
          <w:szCs w:val="24"/>
        </w:rPr>
        <w:t xml:space="preserve"> Mahindra Bank was highest 1.50 in the year of 2021-2022 and lowest 0.18 in the year of 2019-2020. It is growing every year so it is satisfactory.</w:t>
      </w:r>
    </w:p>
    <w:p w:rsidR="00790258" w:rsidRPr="005E6FBB" w:rsidRDefault="00790258" w:rsidP="0032614A">
      <w:pPr>
        <w:pStyle w:val="ListParagraph"/>
        <w:numPr>
          <w:ilvl w:val="0"/>
          <w:numId w:val="2"/>
        </w:numPr>
        <w:spacing w:after="0" w:line="360" w:lineRule="auto"/>
        <w:contextualSpacing w:val="0"/>
        <w:jc w:val="both"/>
        <w:rPr>
          <w:rFonts w:ascii="Times New Roman" w:hAnsi="Times New Roman" w:cs="Times New Roman"/>
          <w:b/>
          <w:sz w:val="24"/>
          <w:szCs w:val="24"/>
        </w:rPr>
      </w:pPr>
      <w:r w:rsidRPr="005E6FBB">
        <w:rPr>
          <w:rFonts w:ascii="Times New Roman" w:hAnsi="Times New Roman" w:cs="Times New Roman"/>
          <w:sz w:val="24"/>
          <w:szCs w:val="24"/>
        </w:rPr>
        <w:t>The Gross Profit Ratio of the HDFC Bank was highest 2.97 in the year of 2021-2022 and lowest 0.45 in the year of 2017-2018. It is growing every year so it is satisfactory.</w:t>
      </w:r>
    </w:p>
    <w:p w:rsidR="00790258" w:rsidRPr="00790258" w:rsidRDefault="00790258" w:rsidP="0032614A">
      <w:pPr>
        <w:pStyle w:val="ListParagraph"/>
        <w:numPr>
          <w:ilvl w:val="0"/>
          <w:numId w:val="2"/>
        </w:numPr>
        <w:spacing w:after="0" w:line="360" w:lineRule="auto"/>
        <w:contextualSpacing w:val="0"/>
        <w:jc w:val="both"/>
        <w:rPr>
          <w:rFonts w:ascii="Times New Roman" w:hAnsi="Times New Roman" w:cs="Times New Roman"/>
          <w:b/>
          <w:sz w:val="24"/>
          <w:szCs w:val="24"/>
        </w:rPr>
      </w:pPr>
      <w:r w:rsidRPr="005E6FBB">
        <w:rPr>
          <w:rFonts w:ascii="Times New Roman" w:hAnsi="Times New Roman" w:cs="Times New Roman"/>
          <w:sz w:val="24"/>
          <w:szCs w:val="24"/>
        </w:rPr>
        <w:t xml:space="preserve">The Net Profit Ratio of the </w:t>
      </w:r>
      <w:proofErr w:type="spellStart"/>
      <w:r w:rsidRPr="005E6FBB">
        <w:rPr>
          <w:rFonts w:ascii="Times New Roman" w:hAnsi="Times New Roman" w:cs="Times New Roman"/>
          <w:sz w:val="24"/>
          <w:szCs w:val="24"/>
        </w:rPr>
        <w:t>Kotak</w:t>
      </w:r>
      <w:proofErr w:type="spellEnd"/>
      <w:r w:rsidRPr="005E6FBB">
        <w:rPr>
          <w:rFonts w:ascii="Times New Roman" w:hAnsi="Times New Roman" w:cs="Times New Roman"/>
          <w:sz w:val="24"/>
          <w:szCs w:val="24"/>
        </w:rPr>
        <w:t xml:space="preserve"> Mahindra Bank was highest 31.70 in the year of 2021-2022 and lowest 20.68 in the year of 2017-2018. It is growing every year so it is satisfactory.</w:t>
      </w:r>
    </w:p>
    <w:p w:rsidR="00790258" w:rsidRPr="00790258" w:rsidRDefault="00790258" w:rsidP="0032614A">
      <w:pPr>
        <w:jc w:val="both"/>
        <w:rPr>
          <w:rFonts w:ascii="Times New Roman" w:hAnsi="Times New Roman" w:cs="Times New Roman"/>
          <w:b/>
          <w:sz w:val="24"/>
          <w:szCs w:val="24"/>
        </w:rPr>
      </w:pPr>
      <w:r w:rsidRPr="00790258">
        <w:rPr>
          <w:rFonts w:ascii="Times New Roman" w:hAnsi="Times New Roman" w:cs="Times New Roman"/>
          <w:b/>
          <w:sz w:val="24"/>
          <w:szCs w:val="24"/>
        </w:rPr>
        <w:t xml:space="preserve"> </w:t>
      </w:r>
      <w:r>
        <w:rPr>
          <w:rFonts w:ascii="Times New Roman" w:hAnsi="Times New Roman" w:cs="Times New Roman"/>
          <w:b/>
          <w:sz w:val="24"/>
          <w:szCs w:val="24"/>
        </w:rPr>
        <w:t>SUGGESTIONS</w:t>
      </w:r>
    </w:p>
    <w:p w:rsidR="00790258" w:rsidRPr="005E6FBB" w:rsidRDefault="00790258" w:rsidP="0032614A">
      <w:pPr>
        <w:pStyle w:val="ListParagraph"/>
        <w:numPr>
          <w:ilvl w:val="0"/>
          <w:numId w:val="4"/>
        </w:numPr>
        <w:spacing w:line="360" w:lineRule="auto"/>
        <w:jc w:val="both"/>
        <w:rPr>
          <w:rFonts w:ascii="Times New Roman" w:hAnsi="Times New Roman" w:cs="Times New Roman"/>
          <w:sz w:val="24"/>
          <w:szCs w:val="24"/>
          <w:lang w:val="en-US"/>
        </w:rPr>
      </w:pPr>
      <w:r w:rsidRPr="005E6FBB">
        <w:rPr>
          <w:rFonts w:ascii="Times New Roman" w:hAnsi="Times New Roman" w:cs="Times New Roman"/>
          <w:sz w:val="24"/>
          <w:szCs w:val="24"/>
          <w:lang w:val="en-US"/>
        </w:rPr>
        <w:t xml:space="preserve">The </w:t>
      </w:r>
      <w:proofErr w:type="spellStart"/>
      <w:r w:rsidRPr="005E6FBB">
        <w:rPr>
          <w:rFonts w:ascii="Times New Roman" w:hAnsi="Times New Roman" w:cs="Times New Roman"/>
          <w:sz w:val="24"/>
          <w:szCs w:val="24"/>
          <w:lang w:val="en-US"/>
        </w:rPr>
        <w:t>Kotak</w:t>
      </w:r>
      <w:proofErr w:type="spellEnd"/>
      <w:r w:rsidRPr="005E6FBB">
        <w:rPr>
          <w:rFonts w:ascii="Times New Roman" w:hAnsi="Times New Roman" w:cs="Times New Roman"/>
          <w:sz w:val="24"/>
          <w:szCs w:val="24"/>
          <w:lang w:val="en-US"/>
        </w:rPr>
        <w:t xml:space="preserve"> Mahindra Bank and HDFC Bank must take necessary measures to improve their current assets and reduce their advances and current liabilities.</w:t>
      </w:r>
    </w:p>
    <w:p w:rsidR="00790258" w:rsidRPr="005E6FBB" w:rsidRDefault="00790258" w:rsidP="0032614A">
      <w:pPr>
        <w:pStyle w:val="ListParagraph"/>
        <w:numPr>
          <w:ilvl w:val="0"/>
          <w:numId w:val="4"/>
        </w:numPr>
        <w:spacing w:line="360" w:lineRule="auto"/>
        <w:jc w:val="both"/>
        <w:rPr>
          <w:rFonts w:ascii="Times New Roman" w:hAnsi="Times New Roman" w:cs="Times New Roman"/>
          <w:sz w:val="24"/>
          <w:szCs w:val="24"/>
          <w:lang w:val="en-US"/>
        </w:rPr>
      </w:pPr>
      <w:r w:rsidRPr="005E6FBB">
        <w:rPr>
          <w:rFonts w:ascii="Times New Roman" w:hAnsi="Times New Roman" w:cs="Times New Roman"/>
          <w:sz w:val="24"/>
          <w:szCs w:val="24"/>
          <w:lang w:val="en-US"/>
        </w:rPr>
        <w:t>The selected private sector banks should work to increase other income, so that dependency on interested income can be reduced.</w:t>
      </w:r>
    </w:p>
    <w:p w:rsidR="00790258" w:rsidRPr="005E6FBB" w:rsidRDefault="00790258" w:rsidP="0032614A">
      <w:pPr>
        <w:pStyle w:val="ListParagraph"/>
        <w:numPr>
          <w:ilvl w:val="0"/>
          <w:numId w:val="4"/>
        </w:numPr>
        <w:spacing w:line="360" w:lineRule="auto"/>
        <w:jc w:val="both"/>
        <w:rPr>
          <w:rFonts w:ascii="Times New Roman" w:hAnsi="Times New Roman" w:cs="Times New Roman"/>
          <w:sz w:val="24"/>
          <w:szCs w:val="24"/>
          <w:lang w:val="en-US"/>
        </w:rPr>
      </w:pPr>
      <w:r w:rsidRPr="005E6FBB">
        <w:rPr>
          <w:rFonts w:ascii="Times New Roman" w:hAnsi="Times New Roman" w:cs="Times New Roman"/>
          <w:sz w:val="24"/>
          <w:szCs w:val="24"/>
          <w:lang w:val="en-US"/>
        </w:rPr>
        <w:t>The selected private sector banks should work to increase their Quick asset value.</w:t>
      </w:r>
    </w:p>
    <w:p w:rsidR="00790258" w:rsidRPr="005E6FBB" w:rsidRDefault="00790258" w:rsidP="0032614A">
      <w:pPr>
        <w:pStyle w:val="ListParagraph"/>
        <w:numPr>
          <w:ilvl w:val="0"/>
          <w:numId w:val="4"/>
        </w:numPr>
        <w:spacing w:line="360" w:lineRule="auto"/>
        <w:jc w:val="both"/>
        <w:rPr>
          <w:rFonts w:ascii="Times New Roman" w:hAnsi="Times New Roman" w:cs="Times New Roman"/>
          <w:sz w:val="24"/>
          <w:szCs w:val="24"/>
          <w:lang w:val="en-US"/>
        </w:rPr>
      </w:pPr>
      <w:r w:rsidRPr="005E6FBB">
        <w:rPr>
          <w:rFonts w:ascii="Times New Roman" w:hAnsi="Times New Roman" w:cs="Times New Roman"/>
          <w:sz w:val="24"/>
          <w:szCs w:val="24"/>
          <w:lang w:val="en-US"/>
        </w:rPr>
        <w:t xml:space="preserve">The </w:t>
      </w:r>
      <w:proofErr w:type="spellStart"/>
      <w:r w:rsidRPr="005E6FBB">
        <w:rPr>
          <w:rFonts w:ascii="Times New Roman" w:hAnsi="Times New Roman" w:cs="Times New Roman"/>
          <w:sz w:val="24"/>
          <w:szCs w:val="24"/>
          <w:lang w:val="en-US"/>
        </w:rPr>
        <w:t>Kotak</w:t>
      </w:r>
      <w:proofErr w:type="spellEnd"/>
      <w:r w:rsidRPr="005E6FBB">
        <w:rPr>
          <w:rFonts w:ascii="Times New Roman" w:hAnsi="Times New Roman" w:cs="Times New Roman"/>
          <w:sz w:val="24"/>
          <w:szCs w:val="24"/>
          <w:lang w:val="en-US"/>
        </w:rPr>
        <w:t xml:space="preserve"> Mahindra Bank must concentrate to improve their fixed asset value.</w:t>
      </w:r>
    </w:p>
    <w:p w:rsidR="00790258" w:rsidRDefault="00790258" w:rsidP="0032614A">
      <w:pPr>
        <w:pStyle w:val="ListParagraph"/>
        <w:numPr>
          <w:ilvl w:val="0"/>
          <w:numId w:val="4"/>
        </w:numPr>
        <w:spacing w:line="360" w:lineRule="auto"/>
        <w:jc w:val="both"/>
        <w:rPr>
          <w:rFonts w:ascii="Times New Roman" w:hAnsi="Times New Roman" w:cs="Times New Roman"/>
          <w:sz w:val="24"/>
          <w:szCs w:val="24"/>
          <w:lang w:val="en-US"/>
        </w:rPr>
      </w:pPr>
      <w:proofErr w:type="spellStart"/>
      <w:r w:rsidRPr="005E6FBB">
        <w:rPr>
          <w:rFonts w:ascii="Times New Roman" w:hAnsi="Times New Roman" w:cs="Times New Roman"/>
          <w:sz w:val="24"/>
          <w:szCs w:val="24"/>
          <w:lang w:val="en-US"/>
        </w:rPr>
        <w:t>Kotak</w:t>
      </w:r>
      <w:proofErr w:type="spellEnd"/>
      <w:r w:rsidRPr="005E6FBB">
        <w:rPr>
          <w:rFonts w:ascii="Times New Roman" w:hAnsi="Times New Roman" w:cs="Times New Roman"/>
          <w:sz w:val="24"/>
          <w:szCs w:val="24"/>
          <w:lang w:val="en-US"/>
        </w:rPr>
        <w:t xml:space="preserve"> Mahindra Bank and HDFC Bank should develop new products and service like selling of insurance products, government securities, online </w:t>
      </w:r>
      <w:proofErr w:type="spellStart"/>
      <w:r w:rsidRPr="005E6FBB">
        <w:rPr>
          <w:rFonts w:ascii="Times New Roman" w:hAnsi="Times New Roman" w:cs="Times New Roman"/>
          <w:sz w:val="24"/>
          <w:szCs w:val="24"/>
          <w:lang w:val="en-US"/>
        </w:rPr>
        <w:t>shopping,etc.to</w:t>
      </w:r>
      <w:proofErr w:type="spellEnd"/>
      <w:r w:rsidRPr="005E6FBB">
        <w:rPr>
          <w:rFonts w:ascii="Times New Roman" w:hAnsi="Times New Roman" w:cs="Times New Roman"/>
          <w:sz w:val="24"/>
          <w:szCs w:val="24"/>
          <w:lang w:val="en-US"/>
        </w:rPr>
        <w:t xml:space="preserve"> accelerate other income.</w:t>
      </w:r>
    </w:p>
    <w:p w:rsidR="00790258" w:rsidRDefault="00790258" w:rsidP="0032614A">
      <w:pPr>
        <w:spacing w:line="360" w:lineRule="auto"/>
        <w:jc w:val="both"/>
        <w:rPr>
          <w:rFonts w:ascii="Times New Roman" w:hAnsi="Times New Roman" w:cs="Times New Roman"/>
          <w:sz w:val="24"/>
          <w:szCs w:val="24"/>
        </w:rPr>
      </w:pPr>
    </w:p>
    <w:p w:rsidR="00790258" w:rsidRDefault="00790258" w:rsidP="0032614A">
      <w:pPr>
        <w:spacing w:line="360" w:lineRule="auto"/>
        <w:jc w:val="both"/>
        <w:rPr>
          <w:rFonts w:ascii="Times New Roman" w:hAnsi="Times New Roman" w:cs="Times New Roman"/>
          <w:sz w:val="24"/>
          <w:szCs w:val="24"/>
        </w:rPr>
      </w:pPr>
    </w:p>
    <w:p w:rsidR="00790258" w:rsidRDefault="00790258" w:rsidP="0032614A">
      <w:pPr>
        <w:spacing w:line="360" w:lineRule="auto"/>
        <w:jc w:val="both"/>
        <w:rPr>
          <w:rFonts w:ascii="Times New Roman" w:hAnsi="Times New Roman" w:cs="Times New Roman"/>
          <w:sz w:val="24"/>
          <w:szCs w:val="24"/>
        </w:rPr>
      </w:pPr>
    </w:p>
    <w:p w:rsidR="00790258" w:rsidRPr="005E6FBB" w:rsidRDefault="00790258" w:rsidP="0032614A">
      <w:pPr>
        <w:spacing w:before="100" w:beforeAutospacing="1" w:after="100" w:afterAutospacing="1" w:line="360" w:lineRule="auto"/>
        <w:ind w:right="-90"/>
        <w:jc w:val="both"/>
        <w:rPr>
          <w:rFonts w:ascii="Times New Roman" w:hAnsi="Times New Roman" w:cs="Times New Roman"/>
          <w:b/>
          <w:sz w:val="24"/>
          <w:szCs w:val="24"/>
        </w:rPr>
      </w:pPr>
      <w:r>
        <w:rPr>
          <w:rFonts w:ascii="Times New Roman" w:hAnsi="Times New Roman" w:cs="Times New Roman"/>
          <w:b/>
          <w:sz w:val="24"/>
          <w:szCs w:val="24"/>
        </w:rPr>
        <w:lastRenderedPageBreak/>
        <w:t>CONCLUSION</w:t>
      </w:r>
    </w:p>
    <w:p w:rsidR="00790258" w:rsidRPr="005E6FBB" w:rsidRDefault="00790258" w:rsidP="0032614A">
      <w:pPr>
        <w:spacing w:before="100" w:beforeAutospacing="1" w:after="100" w:afterAutospacing="1" w:line="360" w:lineRule="auto"/>
        <w:ind w:right="-90"/>
        <w:jc w:val="both"/>
        <w:rPr>
          <w:rFonts w:ascii="Times New Roman" w:hAnsi="Times New Roman" w:cs="Times New Roman"/>
          <w:sz w:val="24"/>
          <w:szCs w:val="24"/>
        </w:rPr>
      </w:pPr>
      <w:r w:rsidRPr="005E6FBB">
        <w:rPr>
          <w:rFonts w:ascii="Times New Roman" w:hAnsi="Times New Roman" w:cs="Times New Roman"/>
          <w:sz w:val="24"/>
          <w:szCs w:val="24"/>
        </w:rPr>
        <w:t>Financing the firm’s assets is a very crucial problem in every business and as a general rule there should be proper mix of debt and equity capital in financing the firm’s assets. Firm’s with unplanned capital structure can prosper in short run but face difficulties in mobilizing additional funds and increasing the value of the business in the long run.</w:t>
      </w:r>
    </w:p>
    <w:p w:rsidR="00790258" w:rsidRDefault="00790258" w:rsidP="0032614A">
      <w:pPr>
        <w:spacing w:before="100" w:beforeAutospacing="1" w:after="100" w:afterAutospacing="1" w:line="360" w:lineRule="auto"/>
        <w:ind w:right="-90"/>
        <w:jc w:val="both"/>
        <w:rPr>
          <w:rFonts w:ascii="Times New Roman" w:hAnsi="Times New Roman" w:cs="Times New Roman"/>
          <w:sz w:val="24"/>
          <w:szCs w:val="24"/>
        </w:rPr>
      </w:pPr>
      <w:r w:rsidRPr="005E6FBB">
        <w:rPr>
          <w:rFonts w:ascii="Times New Roman" w:hAnsi="Times New Roman" w:cs="Times New Roman"/>
          <w:sz w:val="24"/>
          <w:szCs w:val="24"/>
        </w:rPr>
        <w:t xml:space="preserve">Equity and debt are the two principal source of finance of the banks. Making an appropriate debt and equity mix in capital structure is an important financial decision in every business enterprises. Therefore every banks should try to formulate and maintain optimum capital structure. This has prompted to make an analysis of financial performance in </w:t>
      </w:r>
      <w:proofErr w:type="spellStart"/>
      <w:r w:rsidRPr="005E6FBB">
        <w:rPr>
          <w:rFonts w:ascii="Times New Roman" w:hAnsi="Times New Roman" w:cs="Times New Roman"/>
          <w:sz w:val="24"/>
          <w:szCs w:val="24"/>
        </w:rPr>
        <w:t>Kotak</w:t>
      </w:r>
      <w:proofErr w:type="spellEnd"/>
      <w:r w:rsidRPr="005E6FBB">
        <w:rPr>
          <w:rFonts w:ascii="Times New Roman" w:hAnsi="Times New Roman" w:cs="Times New Roman"/>
          <w:sz w:val="24"/>
          <w:szCs w:val="24"/>
        </w:rPr>
        <w:t xml:space="preserve"> </w:t>
      </w:r>
      <w:proofErr w:type="spellStart"/>
      <w:r w:rsidRPr="005E6FBB">
        <w:rPr>
          <w:rFonts w:ascii="Times New Roman" w:hAnsi="Times New Roman" w:cs="Times New Roman"/>
          <w:sz w:val="24"/>
          <w:szCs w:val="24"/>
        </w:rPr>
        <w:t>mahindra</w:t>
      </w:r>
      <w:proofErr w:type="spellEnd"/>
      <w:r w:rsidRPr="005E6FBB">
        <w:rPr>
          <w:rFonts w:ascii="Times New Roman" w:hAnsi="Times New Roman" w:cs="Times New Roman"/>
          <w:sz w:val="24"/>
          <w:szCs w:val="24"/>
        </w:rPr>
        <w:t xml:space="preserve"> bank &amp; HDFC. The data required for the study was collected from the Dion global solutions limited database. The collected data were analyzed with the help of selected financial ratios.</w:t>
      </w:r>
    </w:p>
    <w:p w:rsidR="00790258" w:rsidRPr="0032614A" w:rsidRDefault="00790258" w:rsidP="0032614A">
      <w:pPr>
        <w:spacing w:before="100" w:beforeAutospacing="1" w:after="100" w:afterAutospacing="1" w:line="360" w:lineRule="auto"/>
        <w:ind w:right="-90"/>
        <w:jc w:val="both"/>
        <w:rPr>
          <w:rFonts w:ascii="Times New Roman" w:hAnsi="Times New Roman" w:cs="Times New Roman"/>
          <w:b/>
          <w:sz w:val="24"/>
          <w:szCs w:val="24"/>
        </w:rPr>
      </w:pPr>
      <w:r w:rsidRPr="0032614A">
        <w:rPr>
          <w:rFonts w:ascii="Times New Roman" w:hAnsi="Times New Roman" w:cs="Times New Roman"/>
          <w:b/>
          <w:sz w:val="24"/>
          <w:szCs w:val="24"/>
        </w:rPr>
        <w:t>REFERENCES</w:t>
      </w:r>
    </w:p>
    <w:p w:rsidR="00790258" w:rsidRPr="00E207B9" w:rsidRDefault="00790258" w:rsidP="0032614A">
      <w:pPr>
        <w:pStyle w:val="ListParagraph"/>
        <w:widowControl w:val="0"/>
        <w:numPr>
          <w:ilvl w:val="0"/>
          <w:numId w:val="5"/>
        </w:numPr>
        <w:autoSpaceDE w:val="0"/>
        <w:autoSpaceDN w:val="0"/>
        <w:spacing w:before="67" w:after="0" w:line="360" w:lineRule="auto"/>
        <w:ind w:right="117"/>
        <w:contextualSpacing w:val="0"/>
        <w:jc w:val="both"/>
        <w:rPr>
          <w:rFonts w:ascii="Times New Roman" w:hAnsi="Times New Roman" w:cs="Times New Roman"/>
          <w:sz w:val="24"/>
          <w:szCs w:val="24"/>
        </w:rPr>
      </w:pPr>
      <w:proofErr w:type="gramStart"/>
      <w:r w:rsidRPr="00E207B9">
        <w:rPr>
          <w:rFonts w:ascii="Times New Roman" w:hAnsi="Times New Roman" w:cs="Times New Roman"/>
          <w:sz w:val="24"/>
          <w:szCs w:val="24"/>
        </w:rPr>
        <w:t>Solanki  H</w:t>
      </w:r>
      <w:proofErr w:type="gramEnd"/>
      <w:r w:rsidRPr="00E207B9">
        <w:rPr>
          <w:rFonts w:ascii="Times New Roman" w:hAnsi="Times New Roman" w:cs="Times New Roman"/>
          <w:sz w:val="24"/>
          <w:szCs w:val="24"/>
        </w:rPr>
        <w:t xml:space="preserve">,  Aggarwal  J.  Impact  of  Bank Specific  Variables  on  Financial Performance  of  Private  Sector  Banks  in India.  </w:t>
      </w:r>
      <w:proofErr w:type="gramStart"/>
      <w:r w:rsidRPr="00E207B9">
        <w:rPr>
          <w:rFonts w:ascii="Times New Roman" w:hAnsi="Times New Roman" w:cs="Times New Roman"/>
          <w:sz w:val="24"/>
          <w:szCs w:val="24"/>
        </w:rPr>
        <w:t>Research  Review</w:t>
      </w:r>
      <w:proofErr w:type="gramEnd"/>
      <w:r w:rsidRPr="00E207B9">
        <w:rPr>
          <w:rFonts w:ascii="Times New Roman" w:hAnsi="Times New Roman" w:cs="Times New Roman"/>
          <w:sz w:val="24"/>
          <w:szCs w:val="24"/>
        </w:rPr>
        <w:t xml:space="preserve">  International Journal  of Multidisciplinary,7(1):70–81.</w:t>
      </w:r>
    </w:p>
    <w:p w:rsidR="00790258" w:rsidRPr="00E207B9" w:rsidRDefault="00790258" w:rsidP="0032614A">
      <w:pPr>
        <w:pStyle w:val="ListParagraph"/>
        <w:widowControl w:val="0"/>
        <w:numPr>
          <w:ilvl w:val="0"/>
          <w:numId w:val="5"/>
        </w:numPr>
        <w:tabs>
          <w:tab w:val="left" w:pos="700"/>
          <w:tab w:val="left" w:pos="701"/>
          <w:tab w:val="left" w:pos="1633"/>
          <w:tab w:val="left" w:pos="2101"/>
          <w:tab w:val="left" w:pos="3340"/>
          <w:tab w:val="left" w:pos="3796"/>
        </w:tabs>
        <w:autoSpaceDE w:val="0"/>
        <w:autoSpaceDN w:val="0"/>
        <w:spacing w:after="0" w:line="360" w:lineRule="auto"/>
        <w:ind w:right="40"/>
        <w:contextualSpacing w:val="0"/>
        <w:jc w:val="both"/>
        <w:rPr>
          <w:rFonts w:ascii="Times New Roman" w:hAnsi="Times New Roman" w:cs="Times New Roman"/>
          <w:sz w:val="24"/>
          <w:szCs w:val="24"/>
        </w:rPr>
      </w:pPr>
      <w:proofErr w:type="spellStart"/>
      <w:r w:rsidRPr="00E207B9">
        <w:rPr>
          <w:rFonts w:ascii="Times New Roman" w:hAnsi="Times New Roman" w:cs="Times New Roman"/>
          <w:sz w:val="24"/>
          <w:szCs w:val="24"/>
        </w:rPr>
        <w:t>SathiyaN</w:t>
      </w:r>
      <w:proofErr w:type="gramStart"/>
      <w:r w:rsidRPr="00E207B9">
        <w:rPr>
          <w:rFonts w:ascii="Times New Roman" w:hAnsi="Times New Roman" w:cs="Times New Roman"/>
          <w:sz w:val="24"/>
          <w:szCs w:val="24"/>
        </w:rPr>
        <w:t>,Sangeetha</w:t>
      </w:r>
      <w:proofErr w:type="spellEnd"/>
      <w:proofErr w:type="gramEnd"/>
      <w:r w:rsidRPr="00E207B9">
        <w:rPr>
          <w:rFonts w:ascii="Times New Roman" w:hAnsi="Times New Roman" w:cs="Times New Roman"/>
          <w:sz w:val="24"/>
          <w:szCs w:val="24"/>
        </w:rPr>
        <w:t xml:space="preserve"> S,(2021). </w:t>
      </w:r>
      <w:r w:rsidRPr="00E207B9">
        <w:rPr>
          <w:rFonts w:ascii="Times New Roman" w:hAnsi="Times New Roman" w:cs="Times New Roman"/>
          <w:spacing w:val="-1"/>
          <w:sz w:val="24"/>
          <w:szCs w:val="24"/>
        </w:rPr>
        <w:t>Financial</w:t>
      </w:r>
      <w:r w:rsidRPr="00E207B9">
        <w:rPr>
          <w:rFonts w:ascii="Times New Roman" w:hAnsi="Times New Roman" w:cs="Times New Roman"/>
          <w:spacing w:val="-53"/>
          <w:sz w:val="24"/>
          <w:szCs w:val="24"/>
        </w:rPr>
        <w:t xml:space="preserve"> </w:t>
      </w:r>
      <w:r w:rsidRPr="00E207B9">
        <w:rPr>
          <w:rFonts w:ascii="Times New Roman" w:hAnsi="Times New Roman" w:cs="Times New Roman"/>
          <w:sz w:val="24"/>
          <w:szCs w:val="24"/>
        </w:rPr>
        <w:t>performance</w:t>
      </w:r>
      <w:r w:rsidRPr="00E207B9">
        <w:rPr>
          <w:rFonts w:ascii="Times New Roman" w:hAnsi="Times New Roman" w:cs="Times New Roman"/>
          <w:spacing w:val="9"/>
          <w:sz w:val="24"/>
          <w:szCs w:val="24"/>
        </w:rPr>
        <w:t xml:space="preserve"> </w:t>
      </w:r>
      <w:r w:rsidRPr="00E207B9">
        <w:rPr>
          <w:rFonts w:ascii="Times New Roman" w:hAnsi="Times New Roman" w:cs="Times New Roman"/>
          <w:sz w:val="24"/>
          <w:szCs w:val="24"/>
        </w:rPr>
        <w:t>of</w:t>
      </w:r>
      <w:r w:rsidRPr="00E207B9">
        <w:rPr>
          <w:rFonts w:ascii="Times New Roman" w:hAnsi="Times New Roman" w:cs="Times New Roman"/>
          <w:spacing w:val="10"/>
          <w:sz w:val="24"/>
          <w:szCs w:val="24"/>
        </w:rPr>
        <w:t xml:space="preserve"> </w:t>
      </w:r>
      <w:r w:rsidRPr="00E207B9">
        <w:rPr>
          <w:rFonts w:ascii="Times New Roman" w:hAnsi="Times New Roman" w:cs="Times New Roman"/>
          <w:sz w:val="24"/>
          <w:szCs w:val="24"/>
        </w:rPr>
        <w:t>selected</w:t>
      </w:r>
      <w:r w:rsidRPr="00E207B9">
        <w:rPr>
          <w:rFonts w:ascii="Times New Roman" w:hAnsi="Times New Roman" w:cs="Times New Roman"/>
          <w:spacing w:val="10"/>
          <w:sz w:val="24"/>
          <w:szCs w:val="24"/>
        </w:rPr>
        <w:t xml:space="preserve"> </w:t>
      </w:r>
      <w:r w:rsidRPr="00E207B9">
        <w:rPr>
          <w:rFonts w:ascii="Times New Roman" w:hAnsi="Times New Roman" w:cs="Times New Roman"/>
          <w:sz w:val="24"/>
          <w:szCs w:val="24"/>
        </w:rPr>
        <w:t>public</w:t>
      </w:r>
      <w:r w:rsidRPr="00E207B9">
        <w:rPr>
          <w:rFonts w:ascii="Times New Roman" w:hAnsi="Times New Roman" w:cs="Times New Roman"/>
          <w:spacing w:val="10"/>
          <w:sz w:val="24"/>
          <w:szCs w:val="24"/>
        </w:rPr>
        <w:t xml:space="preserve"> </w:t>
      </w:r>
      <w:r w:rsidRPr="00E207B9">
        <w:rPr>
          <w:rFonts w:ascii="Times New Roman" w:hAnsi="Times New Roman" w:cs="Times New Roman"/>
          <w:sz w:val="24"/>
          <w:szCs w:val="24"/>
        </w:rPr>
        <w:t>and</w:t>
      </w:r>
      <w:r w:rsidRPr="00E207B9">
        <w:rPr>
          <w:rFonts w:ascii="Times New Roman" w:hAnsi="Times New Roman" w:cs="Times New Roman"/>
          <w:spacing w:val="9"/>
          <w:sz w:val="24"/>
          <w:szCs w:val="24"/>
        </w:rPr>
        <w:t xml:space="preserve"> </w:t>
      </w:r>
      <w:r w:rsidRPr="00E207B9">
        <w:rPr>
          <w:rFonts w:ascii="Times New Roman" w:hAnsi="Times New Roman" w:cs="Times New Roman"/>
          <w:sz w:val="24"/>
          <w:szCs w:val="24"/>
        </w:rPr>
        <w:t>private</w:t>
      </w:r>
      <w:r w:rsidRPr="00E207B9">
        <w:rPr>
          <w:rFonts w:ascii="Times New Roman" w:hAnsi="Times New Roman" w:cs="Times New Roman"/>
          <w:spacing w:val="-52"/>
          <w:sz w:val="24"/>
          <w:szCs w:val="24"/>
        </w:rPr>
        <w:t xml:space="preserve"> </w:t>
      </w:r>
      <w:r w:rsidRPr="00E207B9">
        <w:rPr>
          <w:rFonts w:ascii="Times New Roman" w:hAnsi="Times New Roman" w:cs="Times New Roman"/>
          <w:sz w:val="24"/>
          <w:szCs w:val="24"/>
        </w:rPr>
        <w:t>sector</w:t>
      </w:r>
      <w:r w:rsidRPr="00E207B9">
        <w:rPr>
          <w:rFonts w:ascii="Times New Roman" w:hAnsi="Times New Roman" w:cs="Times New Roman"/>
          <w:spacing w:val="3"/>
          <w:sz w:val="24"/>
          <w:szCs w:val="24"/>
        </w:rPr>
        <w:t xml:space="preserve"> </w:t>
      </w:r>
      <w:r w:rsidRPr="00E207B9">
        <w:rPr>
          <w:rFonts w:ascii="Times New Roman" w:hAnsi="Times New Roman" w:cs="Times New Roman"/>
          <w:sz w:val="24"/>
          <w:szCs w:val="24"/>
        </w:rPr>
        <w:t>banks</w:t>
      </w:r>
      <w:r w:rsidRPr="00E207B9">
        <w:rPr>
          <w:rFonts w:ascii="Times New Roman" w:hAnsi="Times New Roman" w:cs="Times New Roman"/>
          <w:spacing w:val="3"/>
          <w:sz w:val="24"/>
          <w:szCs w:val="24"/>
        </w:rPr>
        <w:t xml:space="preserve"> </w:t>
      </w:r>
      <w:r w:rsidRPr="00E207B9">
        <w:rPr>
          <w:rFonts w:ascii="Times New Roman" w:hAnsi="Times New Roman" w:cs="Times New Roman"/>
          <w:sz w:val="24"/>
          <w:szCs w:val="24"/>
        </w:rPr>
        <w:t>In</w:t>
      </w:r>
      <w:r w:rsidRPr="00E207B9">
        <w:rPr>
          <w:rFonts w:ascii="Times New Roman" w:hAnsi="Times New Roman" w:cs="Times New Roman"/>
          <w:spacing w:val="2"/>
          <w:sz w:val="24"/>
          <w:szCs w:val="24"/>
        </w:rPr>
        <w:t xml:space="preserve"> </w:t>
      </w:r>
      <w:r w:rsidRPr="00E207B9">
        <w:rPr>
          <w:rFonts w:ascii="Times New Roman" w:hAnsi="Times New Roman" w:cs="Times New Roman"/>
          <w:sz w:val="24"/>
          <w:szCs w:val="24"/>
        </w:rPr>
        <w:t>India.</w:t>
      </w:r>
      <w:r w:rsidRPr="00E207B9">
        <w:rPr>
          <w:rFonts w:ascii="Times New Roman" w:hAnsi="Times New Roman" w:cs="Times New Roman"/>
          <w:spacing w:val="5"/>
          <w:sz w:val="24"/>
          <w:szCs w:val="24"/>
        </w:rPr>
        <w:t xml:space="preserve"> </w:t>
      </w:r>
      <w:proofErr w:type="spellStart"/>
      <w:r w:rsidRPr="00E207B9">
        <w:rPr>
          <w:rFonts w:ascii="Times New Roman" w:hAnsi="Times New Roman" w:cs="Times New Roman"/>
          <w:sz w:val="24"/>
          <w:szCs w:val="24"/>
        </w:rPr>
        <w:t>Ictact</w:t>
      </w:r>
      <w:proofErr w:type="spellEnd"/>
      <w:r w:rsidRPr="00E207B9">
        <w:rPr>
          <w:rFonts w:ascii="Times New Roman" w:hAnsi="Times New Roman" w:cs="Times New Roman"/>
          <w:spacing w:val="2"/>
          <w:sz w:val="24"/>
          <w:szCs w:val="24"/>
        </w:rPr>
        <w:t xml:space="preserve"> </w:t>
      </w:r>
      <w:r w:rsidRPr="00E207B9">
        <w:rPr>
          <w:rFonts w:ascii="Times New Roman" w:hAnsi="Times New Roman" w:cs="Times New Roman"/>
          <w:sz w:val="24"/>
          <w:szCs w:val="24"/>
        </w:rPr>
        <w:t>Journal</w:t>
      </w:r>
      <w:r w:rsidRPr="00E207B9">
        <w:rPr>
          <w:rFonts w:ascii="Times New Roman" w:hAnsi="Times New Roman" w:cs="Times New Roman"/>
          <w:spacing w:val="1"/>
          <w:sz w:val="24"/>
          <w:szCs w:val="24"/>
        </w:rPr>
        <w:t xml:space="preserve"> </w:t>
      </w:r>
      <w:proofErr w:type="gramStart"/>
      <w:r w:rsidRPr="00E207B9">
        <w:rPr>
          <w:rFonts w:ascii="Times New Roman" w:hAnsi="Times New Roman" w:cs="Times New Roman"/>
          <w:sz w:val="24"/>
          <w:szCs w:val="24"/>
        </w:rPr>
        <w:t>On</w:t>
      </w:r>
      <w:proofErr w:type="gramEnd"/>
      <w:r w:rsidRPr="00E207B9">
        <w:rPr>
          <w:rFonts w:ascii="Times New Roman" w:hAnsi="Times New Roman" w:cs="Times New Roman"/>
          <w:spacing w:val="-53"/>
          <w:sz w:val="24"/>
          <w:szCs w:val="24"/>
        </w:rPr>
        <w:t xml:space="preserve"> </w:t>
      </w:r>
      <w:r w:rsidRPr="00E207B9">
        <w:rPr>
          <w:rFonts w:ascii="Times New Roman" w:hAnsi="Times New Roman" w:cs="Times New Roman"/>
          <w:sz w:val="24"/>
          <w:szCs w:val="24"/>
        </w:rPr>
        <w:t xml:space="preserve">Management Studies. </w:t>
      </w:r>
      <w:proofErr w:type="spellStart"/>
      <w:r w:rsidRPr="00E207B9">
        <w:rPr>
          <w:rFonts w:ascii="Times New Roman" w:hAnsi="Times New Roman" w:cs="Times New Roman"/>
          <w:sz w:val="24"/>
          <w:szCs w:val="24"/>
        </w:rPr>
        <w:t>Available</w:t>
      </w:r>
      <w:hyperlink r:id="rId10">
        <w:r w:rsidRPr="00E207B9">
          <w:rPr>
            <w:rFonts w:ascii="Times New Roman" w:hAnsi="Times New Roman" w:cs="Times New Roman"/>
            <w:sz w:val="24"/>
            <w:szCs w:val="24"/>
          </w:rPr>
          <w:t>:https</w:t>
        </w:r>
        <w:proofErr w:type="spellEnd"/>
        <w:r w:rsidRPr="00E207B9">
          <w:rPr>
            <w:rFonts w:ascii="Times New Roman" w:hAnsi="Times New Roman" w:cs="Times New Roman"/>
            <w:sz w:val="24"/>
            <w:szCs w:val="24"/>
          </w:rPr>
          <w:t>://Doi.Org/10.21917/Ijms.20</w:t>
        </w:r>
      </w:hyperlink>
    </w:p>
    <w:p w:rsidR="00790258" w:rsidRPr="00E207B9" w:rsidRDefault="00790258" w:rsidP="0032614A">
      <w:pPr>
        <w:pStyle w:val="ListParagraph"/>
        <w:widowControl w:val="0"/>
        <w:numPr>
          <w:ilvl w:val="0"/>
          <w:numId w:val="5"/>
        </w:numPr>
        <w:tabs>
          <w:tab w:val="left" w:pos="820"/>
        </w:tabs>
        <w:autoSpaceDE w:val="0"/>
        <w:autoSpaceDN w:val="0"/>
        <w:spacing w:before="67" w:after="0" w:line="360" w:lineRule="auto"/>
        <w:ind w:right="117"/>
        <w:contextualSpacing w:val="0"/>
        <w:jc w:val="both"/>
        <w:rPr>
          <w:rFonts w:ascii="Times New Roman" w:hAnsi="Times New Roman" w:cs="Times New Roman"/>
          <w:sz w:val="24"/>
          <w:szCs w:val="24"/>
        </w:rPr>
      </w:pPr>
      <w:r w:rsidRPr="00E207B9">
        <w:rPr>
          <w:rFonts w:ascii="Times New Roman" w:hAnsi="Times New Roman" w:cs="Times New Roman"/>
          <w:sz w:val="24"/>
          <w:szCs w:val="24"/>
        </w:rPr>
        <w:t xml:space="preserve">Abdu Mohammed </w:t>
      </w:r>
      <w:proofErr w:type="spellStart"/>
      <w:r w:rsidRPr="00E207B9">
        <w:rPr>
          <w:rFonts w:ascii="Times New Roman" w:hAnsi="Times New Roman" w:cs="Times New Roman"/>
          <w:sz w:val="24"/>
          <w:szCs w:val="24"/>
        </w:rPr>
        <w:t>Assfaw</w:t>
      </w:r>
      <w:proofErr w:type="spellEnd"/>
      <w:r w:rsidRPr="00E207B9">
        <w:rPr>
          <w:rFonts w:ascii="Times New Roman" w:hAnsi="Times New Roman" w:cs="Times New Roman"/>
          <w:sz w:val="24"/>
          <w:szCs w:val="24"/>
        </w:rPr>
        <w:t>, (2019). Firm-Specific and Macroeconomic Determinants of Banks</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Liquidity:</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Empirical</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Investigation</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from</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Ethiopian</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Private</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Commercial</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Banks.</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Journal</w:t>
      </w:r>
      <w:r w:rsidRPr="00E207B9">
        <w:rPr>
          <w:rFonts w:ascii="Times New Roman" w:hAnsi="Times New Roman" w:cs="Times New Roman"/>
          <w:i/>
          <w:spacing w:val="1"/>
          <w:sz w:val="24"/>
          <w:szCs w:val="24"/>
        </w:rPr>
        <w:t xml:space="preserve"> </w:t>
      </w:r>
      <w:r w:rsidRPr="00E207B9">
        <w:rPr>
          <w:rFonts w:ascii="Times New Roman" w:hAnsi="Times New Roman" w:cs="Times New Roman"/>
          <w:i/>
          <w:sz w:val="24"/>
          <w:szCs w:val="24"/>
        </w:rPr>
        <w:t>of</w:t>
      </w:r>
      <w:r w:rsidRPr="00E207B9">
        <w:rPr>
          <w:rFonts w:ascii="Times New Roman" w:hAnsi="Times New Roman" w:cs="Times New Roman"/>
          <w:i/>
          <w:spacing w:val="1"/>
          <w:sz w:val="24"/>
          <w:szCs w:val="24"/>
        </w:rPr>
        <w:t xml:space="preserve"> </w:t>
      </w:r>
      <w:r w:rsidRPr="00E207B9">
        <w:rPr>
          <w:rFonts w:ascii="Times New Roman" w:hAnsi="Times New Roman" w:cs="Times New Roman"/>
          <w:sz w:val="24"/>
          <w:szCs w:val="24"/>
        </w:rPr>
        <w:t>Accounting,</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Finance</w:t>
      </w:r>
      <w:r w:rsidRPr="00E207B9">
        <w:rPr>
          <w:rFonts w:ascii="Times New Roman" w:hAnsi="Times New Roman" w:cs="Times New Roman"/>
          <w:i/>
          <w:sz w:val="24"/>
          <w:szCs w:val="24"/>
        </w:rPr>
        <w:t xml:space="preserve"> </w:t>
      </w:r>
      <w:r w:rsidRPr="00E207B9">
        <w:rPr>
          <w:rFonts w:ascii="Times New Roman" w:hAnsi="Times New Roman" w:cs="Times New Roman"/>
          <w:sz w:val="24"/>
          <w:szCs w:val="24"/>
        </w:rPr>
        <w:t>and</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Auditing</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Studies</w:t>
      </w:r>
      <w:r w:rsidRPr="00E207B9">
        <w:rPr>
          <w:rFonts w:ascii="Times New Roman" w:hAnsi="Times New Roman" w:cs="Times New Roman"/>
          <w:i/>
          <w:sz w:val="24"/>
          <w:szCs w:val="24"/>
        </w:rPr>
        <w:t>, 5</w:t>
      </w:r>
      <w:r w:rsidRPr="00E207B9">
        <w:rPr>
          <w:rFonts w:ascii="Times New Roman" w:hAnsi="Times New Roman" w:cs="Times New Roman"/>
          <w:sz w:val="24"/>
          <w:szCs w:val="24"/>
        </w:rPr>
        <w:t>(2)</w:t>
      </w:r>
      <w:r w:rsidRPr="00E207B9">
        <w:rPr>
          <w:rFonts w:ascii="Times New Roman" w:hAnsi="Times New Roman" w:cs="Times New Roman"/>
          <w:spacing w:val="-3"/>
          <w:sz w:val="24"/>
          <w:szCs w:val="24"/>
        </w:rPr>
        <w:t xml:space="preserve"> </w:t>
      </w:r>
      <w:r w:rsidRPr="00E207B9">
        <w:rPr>
          <w:rFonts w:ascii="Times New Roman" w:hAnsi="Times New Roman" w:cs="Times New Roman"/>
          <w:sz w:val="24"/>
          <w:szCs w:val="24"/>
        </w:rPr>
        <w:t>123-145.</w:t>
      </w:r>
    </w:p>
    <w:p w:rsidR="00790258" w:rsidRPr="00E207B9" w:rsidRDefault="00790258" w:rsidP="0032614A">
      <w:pPr>
        <w:pStyle w:val="ListParagraph"/>
        <w:widowControl w:val="0"/>
        <w:numPr>
          <w:ilvl w:val="0"/>
          <w:numId w:val="5"/>
        </w:numPr>
        <w:tabs>
          <w:tab w:val="left" w:pos="820"/>
        </w:tabs>
        <w:autoSpaceDE w:val="0"/>
        <w:autoSpaceDN w:val="0"/>
        <w:spacing w:before="11" w:after="0" w:line="360" w:lineRule="auto"/>
        <w:ind w:right="115"/>
        <w:contextualSpacing w:val="0"/>
        <w:jc w:val="both"/>
        <w:rPr>
          <w:rFonts w:ascii="Times New Roman" w:hAnsi="Times New Roman" w:cs="Times New Roman"/>
          <w:sz w:val="24"/>
          <w:szCs w:val="24"/>
        </w:rPr>
      </w:pPr>
      <w:proofErr w:type="spellStart"/>
      <w:r w:rsidRPr="00E207B9">
        <w:rPr>
          <w:rFonts w:ascii="Times New Roman" w:hAnsi="Times New Roman" w:cs="Times New Roman"/>
          <w:sz w:val="24"/>
          <w:szCs w:val="24"/>
        </w:rPr>
        <w:t>Jyotirmoy</w:t>
      </w:r>
      <w:proofErr w:type="spellEnd"/>
      <w:r w:rsidRPr="00E207B9">
        <w:rPr>
          <w:rFonts w:ascii="Times New Roman" w:hAnsi="Times New Roman" w:cs="Times New Roman"/>
          <w:sz w:val="24"/>
          <w:szCs w:val="24"/>
        </w:rPr>
        <w:t xml:space="preserve"> </w:t>
      </w:r>
      <w:proofErr w:type="spellStart"/>
      <w:r w:rsidRPr="00E207B9">
        <w:rPr>
          <w:rFonts w:ascii="Times New Roman" w:hAnsi="Times New Roman" w:cs="Times New Roman"/>
          <w:sz w:val="24"/>
          <w:szCs w:val="24"/>
        </w:rPr>
        <w:t>Koley</w:t>
      </w:r>
      <w:proofErr w:type="spellEnd"/>
      <w:r w:rsidRPr="00E207B9">
        <w:rPr>
          <w:rFonts w:ascii="Times New Roman" w:hAnsi="Times New Roman" w:cs="Times New Roman"/>
          <w:sz w:val="24"/>
          <w:szCs w:val="24"/>
        </w:rPr>
        <w:t>, (2019). Analysis of Financial Position and Performance of Public and Private</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Sector Banks in India: A Comparative Study on SBI and HDFC Bank.</w:t>
      </w:r>
      <w:r w:rsidRPr="00E207B9">
        <w:rPr>
          <w:rFonts w:ascii="Times New Roman" w:hAnsi="Times New Roman" w:cs="Times New Roman"/>
          <w:spacing w:val="50"/>
          <w:sz w:val="24"/>
          <w:szCs w:val="24"/>
        </w:rPr>
        <w:t xml:space="preserve"> </w:t>
      </w:r>
      <w:r w:rsidRPr="00E207B9">
        <w:rPr>
          <w:rFonts w:ascii="Times New Roman" w:hAnsi="Times New Roman" w:cs="Times New Roman"/>
          <w:sz w:val="24"/>
          <w:szCs w:val="24"/>
        </w:rPr>
        <w:t>NSOU - Open Journal</w:t>
      </w:r>
      <w:r w:rsidRPr="00E207B9">
        <w:rPr>
          <w:rFonts w:ascii="Times New Roman" w:hAnsi="Times New Roman" w:cs="Times New Roman"/>
          <w:i/>
          <w:sz w:val="24"/>
          <w:szCs w:val="24"/>
        </w:rPr>
        <w:t>,</w:t>
      </w:r>
      <w:r w:rsidRPr="00E207B9">
        <w:rPr>
          <w:rFonts w:ascii="Times New Roman" w:hAnsi="Times New Roman" w:cs="Times New Roman"/>
          <w:i/>
          <w:spacing w:val="1"/>
          <w:sz w:val="24"/>
          <w:szCs w:val="24"/>
        </w:rPr>
        <w:t xml:space="preserve"> </w:t>
      </w:r>
      <w:r w:rsidRPr="00E207B9">
        <w:rPr>
          <w:rFonts w:ascii="Times New Roman" w:hAnsi="Times New Roman" w:cs="Times New Roman"/>
          <w:i/>
          <w:sz w:val="24"/>
          <w:szCs w:val="24"/>
        </w:rPr>
        <w:t>2</w:t>
      </w:r>
      <w:r w:rsidRPr="00E207B9">
        <w:rPr>
          <w:rFonts w:ascii="Times New Roman" w:hAnsi="Times New Roman" w:cs="Times New Roman"/>
          <w:sz w:val="24"/>
          <w:szCs w:val="24"/>
        </w:rPr>
        <w:t>(1),</w:t>
      </w:r>
      <w:r w:rsidRPr="00E207B9">
        <w:rPr>
          <w:rFonts w:ascii="Times New Roman" w:hAnsi="Times New Roman" w:cs="Times New Roman"/>
          <w:spacing w:val="-2"/>
          <w:sz w:val="24"/>
          <w:szCs w:val="24"/>
        </w:rPr>
        <w:t xml:space="preserve"> </w:t>
      </w:r>
      <w:r w:rsidRPr="00E207B9">
        <w:rPr>
          <w:rFonts w:ascii="Times New Roman" w:hAnsi="Times New Roman" w:cs="Times New Roman"/>
          <w:sz w:val="24"/>
          <w:szCs w:val="24"/>
        </w:rPr>
        <w:t>1-14.</w:t>
      </w:r>
    </w:p>
    <w:p w:rsidR="00790258" w:rsidRPr="00E207B9" w:rsidRDefault="00790258" w:rsidP="0032614A">
      <w:pPr>
        <w:pStyle w:val="ListParagraph"/>
        <w:widowControl w:val="0"/>
        <w:numPr>
          <w:ilvl w:val="0"/>
          <w:numId w:val="5"/>
        </w:numPr>
        <w:tabs>
          <w:tab w:val="left" w:pos="820"/>
        </w:tabs>
        <w:autoSpaceDE w:val="0"/>
        <w:autoSpaceDN w:val="0"/>
        <w:spacing w:before="75" w:after="0" w:line="360" w:lineRule="auto"/>
        <w:ind w:right="112"/>
        <w:contextualSpacing w:val="0"/>
        <w:jc w:val="both"/>
        <w:rPr>
          <w:rFonts w:ascii="Times New Roman" w:hAnsi="Times New Roman" w:cs="Times New Roman"/>
          <w:sz w:val="24"/>
          <w:szCs w:val="24"/>
        </w:rPr>
      </w:pPr>
      <w:proofErr w:type="spellStart"/>
      <w:r w:rsidRPr="00E207B9">
        <w:rPr>
          <w:rFonts w:ascii="Times New Roman" w:hAnsi="Times New Roman" w:cs="Times New Roman"/>
          <w:sz w:val="24"/>
          <w:szCs w:val="24"/>
        </w:rPr>
        <w:t>Priyanka</w:t>
      </w:r>
      <w:proofErr w:type="spellEnd"/>
      <w:r w:rsidRPr="00E207B9">
        <w:rPr>
          <w:rFonts w:ascii="Times New Roman" w:hAnsi="Times New Roman" w:cs="Times New Roman"/>
          <w:sz w:val="24"/>
          <w:szCs w:val="24"/>
        </w:rPr>
        <w:t xml:space="preserve"> </w:t>
      </w:r>
      <w:proofErr w:type="spellStart"/>
      <w:r w:rsidRPr="00E207B9">
        <w:rPr>
          <w:rFonts w:ascii="Times New Roman" w:hAnsi="Times New Roman" w:cs="Times New Roman"/>
          <w:sz w:val="24"/>
          <w:szCs w:val="24"/>
        </w:rPr>
        <w:t>Jha</w:t>
      </w:r>
      <w:proofErr w:type="spellEnd"/>
      <w:r w:rsidRPr="00E207B9">
        <w:rPr>
          <w:rFonts w:ascii="Times New Roman" w:hAnsi="Times New Roman" w:cs="Times New Roman"/>
          <w:sz w:val="24"/>
          <w:szCs w:val="24"/>
        </w:rPr>
        <w:t xml:space="preserve">, (2018). </w:t>
      </w:r>
      <w:proofErr w:type="spellStart"/>
      <w:r w:rsidRPr="00E207B9">
        <w:rPr>
          <w:rFonts w:ascii="Times New Roman" w:hAnsi="Times New Roman" w:cs="Times New Roman"/>
          <w:sz w:val="24"/>
          <w:szCs w:val="24"/>
        </w:rPr>
        <w:t>Analyzing</w:t>
      </w:r>
      <w:proofErr w:type="spellEnd"/>
      <w:r w:rsidRPr="00E207B9">
        <w:rPr>
          <w:rFonts w:ascii="Times New Roman" w:hAnsi="Times New Roman" w:cs="Times New Roman"/>
          <w:sz w:val="24"/>
          <w:szCs w:val="24"/>
        </w:rPr>
        <w:t xml:space="preserve"> financial performance (2011-2018) of public sector banks (PNB)</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and private sector banks (ICICI) in India. ICTACT</w:t>
      </w:r>
      <w:r w:rsidRPr="00E207B9">
        <w:rPr>
          <w:rFonts w:ascii="Times New Roman" w:hAnsi="Times New Roman" w:cs="Times New Roman"/>
          <w:i/>
          <w:sz w:val="24"/>
          <w:szCs w:val="24"/>
        </w:rPr>
        <w:t xml:space="preserve"> </w:t>
      </w:r>
      <w:r w:rsidRPr="00E207B9">
        <w:rPr>
          <w:rFonts w:ascii="Times New Roman" w:hAnsi="Times New Roman" w:cs="Times New Roman"/>
          <w:sz w:val="24"/>
          <w:szCs w:val="24"/>
        </w:rPr>
        <w:t>journal on</w:t>
      </w:r>
      <w:r w:rsidRPr="00E207B9">
        <w:rPr>
          <w:rFonts w:ascii="Times New Roman" w:hAnsi="Times New Roman" w:cs="Times New Roman"/>
          <w:i/>
          <w:sz w:val="24"/>
          <w:szCs w:val="24"/>
        </w:rPr>
        <w:t xml:space="preserve"> </w:t>
      </w:r>
      <w:r w:rsidRPr="00E207B9">
        <w:rPr>
          <w:rFonts w:ascii="Times New Roman" w:hAnsi="Times New Roman" w:cs="Times New Roman"/>
          <w:sz w:val="24"/>
          <w:szCs w:val="24"/>
        </w:rPr>
        <w:t>management studies</w:t>
      </w:r>
      <w:r w:rsidRPr="00E207B9">
        <w:rPr>
          <w:rFonts w:ascii="Times New Roman" w:hAnsi="Times New Roman" w:cs="Times New Roman"/>
          <w:i/>
          <w:sz w:val="24"/>
          <w:szCs w:val="24"/>
        </w:rPr>
        <w:t xml:space="preserve">, </w:t>
      </w:r>
      <w:r w:rsidRPr="00E207B9">
        <w:rPr>
          <w:rFonts w:ascii="Times New Roman" w:hAnsi="Times New Roman" w:cs="Times New Roman"/>
          <w:sz w:val="24"/>
          <w:szCs w:val="24"/>
        </w:rPr>
        <w:t>04(03), 793-</w:t>
      </w:r>
      <w:r w:rsidRPr="00E207B9">
        <w:rPr>
          <w:rFonts w:ascii="Times New Roman" w:hAnsi="Times New Roman" w:cs="Times New Roman"/>
          <w:spacing w:val="1"/>
          <w:sz w:val="24"/>
          <w:szCs w:val="24"/>
        </w:rPr>
        <w:t xml:space="preserve"> </w:t>
      </w:r>
      <w:r w:rsidRPr="00E207B9">
        <w:rPr>
          <w:rFonts w:ascii="Times New Roman" w:hAnsi="Times New Roman" w:cs="Times New Roman"/>
          <w:sz w:val="24"/>
          <w:szCs w:val="24"/>
        </w:rPr>
        <w:t>799.</w:t>
      </w:r>
    </w:p>
    <w:p w:rsidR="00790258" w:rsidRPr="005E6FBB" w:rsidRDefault="00790258" w:rsidP="00790258">
      <w:pPr>
        <w:spacing w:before="100" w:beforeAutospacing="1" w:after="100" w:afterAutospacing="1" w:line="360" w:lineRule="auto"/>
        <w:ind w:right="-90"/>
        <w:jc w:val="both"/>
        <w:rPr>
          <w:rFonts w:ascii="Times New Roman" w:hAnsi="Times New Roman" w:cs="Times New Roman"/>
          <w:sz w:val="24"/>
          <w:szCs w:val="24"/>
        </w:rPr>
      </w:pPr>
    </w:p>
    <w:p w:rsidR="0032614A" w:rsidRDefault="0032614A"/>
    <w:sectPr w:rsidR="0032614A" w:rsidSect="00B22E39">
      <w:type w:val="continuous"/>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1D599D"/>
    <w:multiLevelType w:val="hybridMultilevel"/>
    <w:tmpl w:val="D29E994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5CA371D"/>
    <w:multiLevelType w:val="hybridMultilevel"/>
    <w:tmpl w:val="3BFA35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0421DA3"/>
    <w:multiLevelType w:val="hybridMultilevel"/>
    <w:tmpl w:val="477E44F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70053576"/>
    <w:multiLevelType w:val="hybridMultilevel"/>
    <w:tmpl w:val="6DC80B6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8826872"/>
    <w:multiLevelType w:val="hybridMultilevel"/>
    <w:tmpl w:val="558899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E0C"/>
    <w:rsid w:val="00035673"/>
    <w:rsid w:val="0011441E"/>
    <w:rsid w:val="002B4238"/>
    <w:rsid w:val="0032614A"/>
    <w:rsid w:val="004C5286"/>
    <w:rsid w:val="00741E0C"/>
    <w:rsid w:val="00790258"/>
    <w:rsid w:val="009656DC"/>
    <w:rsid w:val="00B20820"/>
    <w:rsid w:val="00B22E39"/>
    <w:rsid w:val="00B9296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C71480-213C-4488-B322-6B565CB8F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E0C"/>
    <w:pPr>
      <w:spacing w:after="160" w:line="259" w:lineRule="auto"/>
    </w:pPr>
    <w:rPr>
      <w:kern w:val="2"/>
      <w:lang w:val="en-US"/>
      <w14:ligatures w14:val="standardContextual"/>
    </w:rPr>
  </w:style>
  <w:style w:type="paragraph" w:styleId="Heading1">
    <w:name w:val="heading 1"/>
    <w:next w:val="Normal"/>
    <w:link w:val="Heading1Char"/>
    <w:uiPriority w:val="9"/>
    <w:unhideWhenUsed/>
    <w:qFormat/>
    <w:rsid w:val="00B92967"/>
    <w:pPr>
      <w:keepNext/>
      <w:keepLines/>
      <w:spacing w:after="372" w:line="246" w:lineRule="auto"/>
      <w:ind w:left="-5" w:hanging="10"/>
      <w:outlineLvl w:val="0"/>
    </w:pPr>
    <w:rPr>
      <w:rFonts w:ascii="Times New Roman" w:eastAsia="Times New Roman" w:hAnsi="Times New Roman" w:cs="Times New Roman"/>
      <w:b/>
      <w:color w:val="000000"/>
      <w:sz w:val="28"/>
      <w:lang w:val="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1441E"/>
    <w:pPr>
      <w:spacing w:after="200" w:line="276" w:lineRule="auto"/>
      <w:ind w:left="720"/>
      <w:contextualSpacing/>
    </w:pPr>
    <w:rPr>
      <w:kern w:val="0"/>
      <w:lang w:val="en-IN"/>
      <w14:ligatures w14:val="none"/>
    </w:rPr>
  </w:style>
  <w:style w:type="paragraph" w:styleId="NormalWeb">
    <w:name w:val="Normal (Web)"/>
    <w:basedOn w:val="Normal"/>
    <w:link w:val="NormalWebChar"/>
    <w:uiPriority w:val="99"/>
    <w:rsid w:val="001144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WebChar">
    <w:name w:val="Normal (Web) Char"/>
    <w:basedOn w:val="DefaultParagraphFont"/>
    <w:link w:val="NormalWeb"/>
    <w:uiPriority w:val="99"/>
    <w:rsid w:val="0011441E"/>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C5286"/>
    <w:rPr>
      <w:i/>
      <w:iCs/>
    </w:rPr>
  </w:style>
  <w:style w:type="paragraph" w:styleId="BalloonText">
    <w:name w:val="Balloon Text"/>
    <w:basedOn w:val="Normal"/>
    <w:link w:val="BalloonTextChar"/>
    <w:uiPriority w:val="99"/>
    <w:semiHidden/>
    <w:unhideWhenUsed/>
    <w:rsid w:val="004C5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5286"/>
    <w:rPr>
      <w:rFonts w:ascii="Tahoma" w:hAnsi="Tahoma" w:cs="Tahoma"/>
      <w:kern w:val="2"/>
      <w:sz w:val="16"/>
      <w:szCs w:val="16"/>
      <w:lang w:val="en-US"/>
      <w14:ligatures w14:val="standardContextual"/>
    </w:rPr>
  </w:style>
  <w:style w:type="table" w:styleId="TableGrid">
    <w:name w:val="Table Grid"/>
    <w:basedOn w:val="TableNormal"/>
    <w:uiPriority w:val="59"/>
    <w:rsid w:val="004C5286"/>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basedOn w:val="Normal"/>
    <w:rsid w:val="009656DC"/>
    <w:pPr>
      <w:autoSpaceDE w:val="0"/>
      <w:autoSpaceDN w:val="0"/>
      <w:adjustRightInd w:val="0"/>
      <w:spacing w:before="100" w:beforeAutospacing="1" w:after="0" w:line="240" w:lineRule="auto"/>
    </w:pPr>
    <w:rPr>
      <w:rFonts w:ascii="Times New Roman" w:eastAsia="Calibri" w:hAnsi="Times New Roman" w:cs="Times New Roman"/>
      <w:color w:val="000000"/>
      <w:kern w:val="0"/>
      <w:sz w:val="24"/>
      <w:szCs w:val="24"/>
      <w:lang w:val="en-IN" w:eastAsia="en-IN"/>
      <w14:ligatures w14:val="none"/>
    </w:rPr>
  </w:style>
  <w:style w:type="character" w:customStyle="1" w:styleId="Heading1Char">
    <w:name w:val="Heading 1 Char"/>
    <w:basedOn w:val="DefaultParagraphFont"/>
    <w:link w:val="Heading1"/>
    <w:uiPriority w:val="9"/>
    <w:rsid w:val="00B92967"/>
    <w:rPr>
      <w:rFonts w:ascii="Times New Roman" w:eastAsia="Times New Roman" w:hAnsi="Times New Roman" w:cs="Times New Roman"/>
      <w:b/>
      <w:color w:val="000000"/>
      <w:sz w:val="28"/>
      <w:lang w:val="en-US" w:bidi="ta-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fontTable" Target="fontTable.xml"/><Relationship Id="rId5" Type="http://schemas.openxmlformats.org/officeDocument/2006/relationships/chart" Target="charts/chart1.xml"/><Relationship Id="rId10" Type="http://schemas.openxmlformats.org/officeDocument/2006/relationships/hyperlink" Target="https://doi.org/10.21917/Ijms.2021.0213" TargetMode="External"/><Relationship Id="rId4" Type="http://schemas.openxmlformats.org/officeDocument/2006/relationships/webSettings" Target="webSettings.xml"/><Relationship Id="rId9" Type="http://schemas.openxmlformats.org/officeDocument/2006/relationships/chart" Target="charts/chart5.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Sheet3!$U$1</c:f>
              <c:strCache>
                <c:ptCount val="1"/>
                <c:pt idx="0">
                  <c:v>Current ratio of Kotak mahindra bank</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Sheet3!$T$2:$T$6</c:f>
              <c:strCache>
                <c:ptCount val="5"/>
                <c:pt idx="0">
                  <c:v>2017-2018</c:v>
                </c:pt>
                <c:pt idx="1">
                  <c:v>2018-2019</c:v>
                </c:pt>
                <c:pt idx="2">
                  <c:v>2019-2020</c:v>
                </c:pt>
                <c:pt idx="3">
                  <c:v>2020-2021</c:v>
                </c:pt>
                <c:pt idx="4">
                  <c:v>2021-2022</c:v>
                </c:pt>
              </c:strCache>
            </c:strRef>
          </c:cat>
          <c:val>
            <c:numRef>
              <c:f>Sheet3!$U$2:$U$6</c:f>
              <c:numCache>
                <c:formatCode>General</c:formatCode>
                <c:ptCount val="5"/>
                <c:pt idx="0">
                  <c:v>1.5</c:v>
                </c:pt>
                <c:pt idx="1">
                  <c:v>1.08</c:v>
                </c:pt>
                <c:pt idx="2">
                  <c:v>1.4</c:v>
                </c:pt>
                <c:pt idx="3">
                  <c:v>1.32</c:v>
                </c:pt>
                <c:pt idx="4">
                  <c:v>1.59</c:v>
                </c:pt>
              </c:numCache>
            </c:numRef>
          </c:val>
        </c:ser>
        <c:ser>
          <c:idx val="1"/>
          <c:order val="1"/>
          <c:tx>
            <c:strRef>
              <c:f>Sheet3!$V$1</c:f>
              <c:strCache>
                <c:ptCount val="1"/>
                <c:pt idx="0">
                  <c:v>Current ratio of HDFC</c:v>
                </c:pt>
              </c:strCache>
            </c:strRef>
          </c:tx>
          <c:invertIfNegative val="0"/>
          <c:dLbls>
            <c:dLbl>
              <c:idx val="0"/>
              <c:layout>
                <c:manualLayout>
                  <c:x val="2.508960644285289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3.5125449019994044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759856708713818E-2"/>
                  <c:y val="-8.5158142694202466E-3"/>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5053763865711734E-2"/>
                  <c:y val="-8.5158142694203506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0071685154282311E-2"/>
                  <c:y val="-5.6772095129468316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Sheet3!$T$2:$T$6</c:f>
              <c:strCache>
                <c:ptCount val="5"/>
                <c:pt idx="0">
                  <c:v>2017-2018</c:v>
                </c:pt>
                <c:pt idx="1">
                  <c:v>2018-2019</c:v>
                </c:pt>
                <c:pt idx="2">
                  <c:v>2019-2020</c:v>
                </c:pt>
                <c:pt idx="3">
                  <c:v>2020-2021</c:v>
                </c:pt>
                <c:pt idx="4">
                  <c:v>2021-2022</c:v>
                </c:pt>
              </c:strCache>
            </c:strRef>
          </c:cat>
          <c:val>
            <c:numRef>
              <c:f>Sheet3!$V$2:$V$6</c:f>
              <c:numCache>
                <c:formatCode>General</c:formatCode>
                <c:ptCount val="5"/>
                <c:pt idx="0">
                  <c:v>0.04</c:v>
                </c:pt>
                <c:pt idx="1">
                  <c:v>0.05</c:v>
                </c:pt>
                <c:pt idx="2">
                  <c:v>0.04</c:v>
                </c:pt>
                <c:pt idx="3">
                  <c:v>0.03</c:v>
                </c:pt>
                <c:pt idx="4">
                  <c:v>0.05</c:v>
                </c:pt>
              </c:numCache>
            </c:numRef>
          </c:val>
        </c:ser>
        <c:dLbls>
          <c:showLegendKey val="0"/>
          <c:showVal val="1"/>
          <c:showCatName val="0"/>
          <c:showSerName val="0"/>
          <c:showPercent val="0"/>
          <c:showBubbleSize val="0"/>
        </c:dLbls>
        <c:gapWidth val="75"/>
        <c:shape val="box"/>
        <c:axId val="1550316832"/>
        <c:axId val="1550323360"/>
        <c:axId val="0"/>
      </c:bar3DChart>
      <c:catAx>
        <c:axId val="1550316832"/>
        <c:scaling>
          <c:orientation val="minMax"/>
        </c:scaling>
        <c:delete val="0"/>
        <c:axPos val="b"/>
        <c:numFmt formatCode="General" sourceLinked="0"/>
        <c:majorTickMark val="none"/>
        <c:minorTickMark val="none"/>
        <c:tickLblPos val="nextTo"/>
        <c:crossAx val="1550323360"/>
        <c:crosses val="autoZero"/>
        <c:auto val="1"/>
        <c:lblAlgn val="ctr"/>
        <c:lblOffset val="100"/>
        <c:noMultiLvlLbl val="0"/>
      </c:catAx>
      <c:valAx>
        <c:axId val="1550323360"/>
        <c:scaling>
          <c:orientation val="minMax"/>
        </c:scaling>
        <c:delete val="0"/>
        <c:axPos val="l"/>
        <c:numFmt formatCode="General" sourceLinked="1"/>
        <c:majorTickMark val="none"/>
        <c:minorTickMark val="none"/>
        <c:tickLblPos val="nextTo"/>
        <c:crossAx val="1550316832"/>
        <c:crosses val="autoZero"/>
        <c:crossBetween val="between"/>
      </c:valAx>
    </c:plotArea>
    <c:legend>
      <c:legendPos val="b"/>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Sheet1!$F$1:$F$2</c:f>
              <c:strCache>
                <c:ptCount val="1"/>
                <c:pt idx="0">
                  <c:v>Quick Ratio Kotak Mahindra bank (in crores)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Sheet1!$E$3:$E$7</c:f>
              <c:strCache>
                <c:ptCount val="5"/>
                <c:pt idx="0">
                  <c:v>2017-2018</c:v>
                </c:pt>
                <c:pt idx="1">
                  <c:v>2018-2019</c:v>
                </c:pt>
                <c:pt idx="2">
                  <c:v>2019-2020</c:v>
                </c:pt>
                <c:pt idx="3">
                  <c:v>2020-2021</c:v>
                </c:pt>
                <c:pt idx="4">
                  <c:v>2021-2022</c:v>
                </c:pt>
              </c:strCache>
            </c:strRef>
          </c:cat>
          <c:val>
            <c:numRef>
              <c:f>Sheet1!$F$3:$F$7</c:f>
              <c:numCache>
                <c:formatCode>General</c:formatCode>
                <c:ptCount val="5"/>
                <c:pt idx="0">
                  <c:v>0.04</c:v>
                </c:pt>
                <c:pt idx="1">
                  <c:v>0.05</c:v>
                </c:pt>
                <c:pt idx="2">
                  <c:v>0.06</c:v>
                </c:pt>
                <c:pt idx="3">
                  <c:v>0.06</c:v>
                </c:pt>
                <c:pt idx="4">
                  <c:v>0.08</c:v>
                </c:pt>
              </c:numCache>
            </c:numRef>
          </c:val>
        </c:ser>
        <c:ser>
          <c:idx val="1"/>
          <c:order val="1"/>
          <c:tx>
            <c:strRef>
              <c:f>Sheet1!$G$1:$G$2</c:f>
              <c:strCache>
                <c:ptCount val="1"/>
                <c:pt idx="0">
                  <c:v>Quick Ratio HDFC (in crores)</c:v>
                </c:pt>
              </c:strCache>
            </c:strRef>
          </c:tx>
          <c:invertIfNegative val="0"/>
          <c:dLbls>
            <c:dLbl>
              <c:idx val="2"/>
              <c:layout>
                <c:manualLayout>
                  <c:x val="2.0603383051162296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1.8027960169767009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1.5452537288371723E-2"/>
                  <c:y val="-6.1403515133669892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Sheet1!$E$3:$E$7</c:f>
              <c:strCache>
                <c:ptCount val="5"/>
                <c:pt idx="0">
                  <c:v>2017-2018</c:v>
                </c:pt>
                <c:pt idx="1">
                  <c:v>2018-2019</c:v>
                </c:pt>
                <c:pt idx="2">
                  <c:v>2019-2020</c:v>
                </c:pt>
                <c:pt idx="3">
                  <c:v>2020-2021</c:v>
                </c:pt>
                <c:pt idx="4">
                  <c:v>2021-2022</c:v>
                </c:pt>
              </c:strCache>
            </c:strRef>
          </c:cat>
          <c:val>
            <c:numRef>
              <c:f>Sheet1!$G$3:$G$7</c:f>
              <c:numCache>
                <c:formatCode>General</c:formatCode>
                <c:ptCount val="5"/>
                <c:pt idx="0">
                  <c:v>0.05</c:v>
                </c:pt>
                <c:pt idx="1">
                  <c:v>0.05</c:v>
                </c:pt>
                <c:pt idx="2">
                  <c:v>0.04</c:v>
                </c:pt>
                <c:pt idx="3">
                  <c:v>0.04</c:v>
                </c:pt>
                <c:pt idx="4">
                  <c:v>0.05</c:v>
                </c:pt>
              </c:numCache>
            </c:numRef>
          </c:val>
        </c:ser>
        <c:dLbls>
          <c:showLegendKey val="0"/>
          <c:showVal val="1"/>
          <c:showCatName val="0"/>
          <c:showSerName val="0"/>
          <c:showPercent val="0"/>
          <c:showBubbleSize val="0"/>
        </c:dLbls>
        <c:gapWidth val="75"/>
        <c:shape val="box"/>
        <c:axId val="1550324448"/>
        <c:axId val="1550303776"/>
        <c:axId val="0"/>
      </c:bar3DChart>
      <c:catAx>
        <c:axId val="1550324448"/>
        <c:scaling>
          <c:orientation val="minMax"/>
        </c:scaling>
        <c:delete val="0"/>
        <c:axPos val="b"/>
        <c:numFmt formatCode="General" sourceLinked="0"/>
        <c:majorTickMark val="none"/>
        <c:minorTickMark val="none"/>
        <c:tickLblPos val="nextTo"/>
        <c:crossAx val="1550303776"/>
        <c:crosses val="autoZero"/>
        <c:auto val="1"/>
        <c:lblAlgn val="ctr"/>
        <c:lblOffset val="100"/>
        <c:noMultiLvlLbl val="0"/>
      </c:catAx>
      <c:valAx>
        <c:axId val="1550303776"/>
        <c:scaling>
          <c:orientation val="minMax"/>
        </c:scaling>
        <c:delete val="0"/>
        <c:axPos val="l"/>
        <c:numFmt formatCode="General" sourceLinked="1"/>
        <c:majorTickMark val="none"/>
        <c:minorTickMark val="none"/>
        <c:tickLblPos val="nextTo"/>
        <c:crossAx val="1550324448"/>
        <c:crosses val="autoZero"/>
        <c:crossBetween val="between"/>
      </c:valAx>
    </c:plotArea>
    <c:legend>
      <c:legendPos val="b"/>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7.1460588910761152E-2"/>
          <c:y val="1.8719385536930581E-2"/>
          <c:w val="0.89728941108923888"/>
          <c:h val="0.7643558282208589"/>
        </c:manualLayout>
      </c:layout>
      <c:bar3DChart>
        <c:barDir val="col"/>
        <c:grouping val="clustered"/>
        <c:varyColors val="0"/>
        <c:ser>
          <c:idx val="0"/>
          <c:order val="0"/>
          <c:tx>
            <c:strRef>
              <c:f>Sheet2!$B$1:$B$2</c:f>
              <c:strCache>
                <c:ptCount val="1"/>
                <c:pt idx="0">
                  <c:v>Absolute liquid ratio Kotak mahindra bank (in crores)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Sheet2!$A$3:$A$7</c:f>
              <c:strCache>
                <c:ptCount val="5"/>
                <c:pt idx="0">
                  <c:v>2017-2018</c:v>
                </c:pt>
                <c:pt idx="1">
                  <c:v>2018-2019</c:v>
                </c:pt>
                <c:pt idx="2">
                  <c:v>2019-2020</c:v>
                </c:pt>
                <c:pt idx="3">
                  <c:v>2020-2021</c:v>
                </c:pt>
                <c:pt idx="4">
                  <c:v>2021-2022</c:v>
                </c:pt>
              </c:strCache>
            </c:strRef>
          </c:cat>
          <c:val>
            <c:numRef>
              <c:f>Sheet2!$B$3:$B$7</c:f>
              <c:numCache>
                <c:formatCode>General</c:formatCode>
                <c:ptCount val="5"/>
                <c:pt idx="0">
                  <c:v>0.88</c:v>
                </c:pt>
                <c:pt idx="1">
                  <c:v>0.68</c:v>
                </c:pt>
                <c:pt idx="2">
                  <c:v>0.67</c:v>
                </c:pt>
                <c:pt idx="3">
                  <c:v>0.89</c:v>
                </c:pt>
                <c:pt idx="4">
                  <c:v>0.76</c:v>
                </c:pt>
              </c:numCache>
            </c:numRef>
          </c:val>
        </c:ser>
        <c:ser>
          <c:idx val="1"/>
          <c:order val="1"/>
          <c:tx>
            <c:strRef>
              <c:f>Sheet2!$C$1:$C$2</c:f>
              <c:strCache>
                <c:ptCount val="1"/>
                <c:pt idx="0">
                  <c:v>Absolute liquid ratio HDFC (in crores)</c:v>
                </c:pt>
              </c:strCache>
            </c:strRef>
          </c:tx>
          <c:invertIfNegative val="0"/>
          <c:dLbls>
            <c:dLbl>
              <c:idx val="0"/>
              <c:layout>
                <c:manualLayout>
                  <c:x val="3.125E-2"/>
                  <c:y val="5.6138169402086533E-17"/>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2.0833333333333332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2.34375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34375E-2"/>
                  <c:y val="0"/>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2.0833333333333239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Sheet2!$A$3:$A$7</c:f>
              <c:strCache>
                <c:ptCount val="5"/>
                <c:pt idx="0">
                  <c:v>2017-2018</c:v>
                </c:pt>
                <c:pt idx="1">
                  <c:v>2018-2019</c:v>
                </c:pt>
                <c:pt idx="2">
                  <c:v>2019-2020</c:v>
                </c:pt>
                <c:pt idx="3">
                  <c:v>2020-2021</c:v>
                </c:pt>
                <c:pt idx="4">
                  <c:v>2021-2022</c:v>
                </c:pt>
              </c:strCache>
            </c:strRef>
          </c:cat>
          <c:val>
            <c:numRef>
              <c:f>Sheet2!$C$3:$C$7</c:f>
              <c:numCache>
                <c:formatCode>General</c:formatCode>
                <c:ptCount val="5"/>
                <c:pt idx="0">
                  <c:v>0.17</c:v>
                </c:pt>
                <c:pt idx="1">
                  <c:v>0.16</c:v>
                </c:pt>
                <c:pt idx="2">
                  <c:v>0.21</c:v>
                </c:pt>
                <c:pt idx="3">
                  <c:v>0.23</c:v>
                </c:pt>
                <c:pt idx="4">
                  <c:v>0.35</c:v>
                </c:pt>
              </c:numCache>
            </c:numRef>
          </c:val>
        </c:ser>
        <c:dLbls>
          <c:showLegendKey val="0"/>
          <c:showVal val="1"/>
          <c:showCatName val="0"/>
          <c:showSerName val="0"/>
          <c:showPercent val="0"/>
          <c:showBubbleSize val="0"/>
        </c:dLbls>
        <c:gapWidth val="75"/>
        <c:shape val="box"/>
        <c:axId val="1550317376"/>
        <c:axId val="1550304864"/>
        <c:axId val="0"/>
      </c:bar3DChart>
      <c:catAx>
        <c:axId val="1550317376"/>
        <c:scaling>
          <c:orientation val="minMax"/>
        </c:scaling>
        <c:delete val="0"/>
        <c:axPos val="b"/>
        <c:numFmt formatCode="General" sourceLinked="0"/>
        <c:majorTickMark val="none"/>
        <c:minorTickMark val="none"/>
        <c:tickLblPos val="nextTo"/>
        <c:crossAx val="1550304864"/>
        <c:crosses val="autoZero"/>
        <c:auto val="1"/>
        <c:lblAlgn val="ctr"/>
        <c:lblOffset val="100"/>
        <c:noMultiLvlLbl val="0"/>
      </c:catAx>
      <c:valAx>
        <c:axId val="1550304864"/>
        <c:scaling>
          <c:orientation val="minMax"/>
        </c:scaling>
        <c:delete val="0"/>
        <c:axPos val="l"/>
        <c:numFmt formatCode="General" sourceLinked="1"/>
        <c:majorTickMark val="none"/>
        <c:minorTickMark val="none"/>
        <c:tickLblPos val="nextTo"/>
        <c:crossAx val="1550317376"/>
        <c:crosses val="autoZero"/>
        <c:crossBetween val="between"/>
      </c:valAx>
    </c:plotArea>
    <c:legend>
      <c:legendPos val="b"/>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Sheet3!$F$1:$F$3</c:f>
              <c:strCache>
                <c:ptCount val="1"/>
                <c:pt idx="0">
                  <c:v>Gross Profit (Profit before tax) Kotak mahindra bank (in crores)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Sheet3!$E$4:$E$8</c:f>
              <c:strCache>
                <c:ptCount val="5"/>
                <c:pt idx="0">
                  <c:v>2017-2018</c:v>
                </c:pt>
                <c:pt idx="1">
                  <c:v>2018-2019</c:v>
                </c:pt>
                <c:pt idx="2">
                  <c:v>2019-2020</c:v>
                </c:pt>
                <c:pt idx="3">
                  <c:v>2020-2021</c:v>
                </c:pt>
                <c:pt idx="4">
                  <c:v>2021-2022</c:v>
                </c:pt>
              </c:strCache>
            </c:strRef>
          </c:cat>
          <c:val>
            <c:numRef>
              <c:f>Sheet3!$F$4:$F$8</c:f>
              <c:numCache>
                <c:formatCode>General</c:formatCode>
                <c:ptCount val="5"/>
                <c:pt idx="0">
                  <c:v>0.24</c:v>
                </c:pt>
                <c:pt idx="1">
                  <c:v>0.25</c:v>
                </c:pt>
                <c:pt idx="2">
                  <c:v>0.18</c:v>
                </c:pt>
                <c:pt idx="3">
                  <c:v>0.2</c:v>
                </c:pt>
                <c:pt idx="4">
                  <c:v>1.5</c:v>
                </c:pt>
              </c:numCache>
            </c:numRef>
          </c:val>
        </c:ser>
        <c:ser>
          <c:idx val="1"/>
          <c:order val="1"/>
          <c:tx>
            <c:strRef>
              <c:f>Sheet3!$G$1:$G$3</c:f>
              <c:strCache>
                <c:ptCount val="1"/>
                <c:pt idx="0">
                  <c:v>Gross Profit (Profit before tax) HDFC (in crores)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Sheet3!$E$4:$E$8</c:f>
              <c:strCache>
                <c:ptCount val="5"/>
                <c:pt idx="0">
                  <c:v>2017-2018</c:v>
                </c:pt>
                <c:pt idx="1">
                  <c:v>2018-2019</c:v>
                </c:pt>
                <c:pt idx="2">
                  <c:v>2019-2020</c:v>
                </c:pt>
                <c:pt idx="3">
                  <c:v>2020-2021</c:v>
                </c:pt>
                <c:pt idx="4">
                  <c:v>2021-2022</c:v>
                </c:pt>
              </c:strCache>
            </c:strRef>
          </c:cat>
          <c:val>
            <c:numRef>
              <c:f>Sheet3!$G$4:$G$8</c:f>
              <c:numCache>
                <c:formatCode>General</c:formatCode>
                <c:ptCount val="5"/>
                <c:pt idx="0">
                  <c:v>0.45</c:v>
                </c:pt>
                <c:pt idx="1">
                  <c:v>0.57999999999999996</c:v>
                </c:pt>
                <c:pt idx="2">
                  <c:v>0.66</c:v>
                </c:pt>
                <c:pt idx="3">
                  <c:v>0.76</c:v>
                </c:pt>
                <c:pt idx="4">
                  <c:v>2.97</c:v>
                </c:pt>
              </c:numCache>
            </c:numRef>
          </c:val>
        </c:ser>
        <c:dLbls>
          <c:showLegendKey val="0"/>
          <c:showVal val="1"/>
          <c:showCatName val="0"/>
          <c:showSerName val="0"/>
          <c:showPercent val="0"/>
          <c:showBubbleSize val="0"/>
        </c:dLbls>
        <c:gapWidth val="75"/>
        <c:shape val="box"/>
        <c:axId val="1550313024"/>
        <c:axId val="1550317920"/>
        <c:axId val="0"/>
      </c:bar3DChart>
      <c:catAx>
        <c:axId val="1550313024"/>
        <c:scaling>
          <c:orientation val="minMax"/>
        </c:scaling>
        <c:delete val="0"/>
        <c:axPos val="b"/>
        <c:numFmt formatCode="General" sourceLinked="0"/>
        <c:majorTickMark val="none"/>
        <c:minorTickMark val="none"/>
        <c:tickLblPos val="nextTo"/>
        <c:crossAx val="1550317920"/>
        <c:crosses val="autoZero"/>
        <c:auto val="1"/>
        <c:lblAlgn val="ctr"/>
        <c:lblOffset val="100"/>
        <c:noMultiLvlLbl val="0"/>
      </c:catAx>
      <c:valAx>
        <c:axId val="1550317920"/>
        <c:scaling>
          <c:orientation val="minMax"/>
        </c:scaling>
        <c:delete val="0"/>
        <c:axPos val="l"/>
        <c:numFmt formatCode="General" sourceLinked="1"/>
        <c:majorTickMark val="none"/>
        <c:minorTickMark val="none"/>
        <c:tickLblPos val="nextTo"/>
        <c:crossAx val="1550313024"/>
        <c:crosses val="autoZero"/>
        <c:crossBetween val="between"/>
      </c:valAx>
    </c:plotArea>
    <c:legend>
      <c:legendPos val="b"/>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Sheet3!$P$14:$P$16</c:f>
              <c:strCache>
                <c:ptCount val="1"/>
                <c:pt idx="0">
                  <c:v>Net Profit Ratio   Kotak mahindra bank (in crores)</c:v>
                </c:pt>
              </c:strCache>
            </c:strRef>
          </c:tx>
          <c:invertIfNegative val="0"/>
          <c:dLbls>
            <c:dLbl>
              <c:idx val="0"/>
              <c:layout>
                <c:manualLayout>
                  <c:x val="-9.6200096200096206E-3"/>
                  <c:y val="-3.0616435450148277E-17"/>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Sheet3!$O$17:$O$21</c:f>
              <c:strCache>
                <c:ptCount val="5"/>
                <c:pt idx="0">
                  <c:v>2017-2018</c:v>
                </c:pt>
                <c:pt idx="1">
                  <c:v>2018-2019</c:v>
                </c:pt>
                <c:pt idx="2">
                  <c:v>2019-2020</c:v>
                </c:pt>
                <c:pt idx="3">
                  <c:v>2020-2021</c:v>
                </c:pt>
                <c:pt idx="4">
                  <c:v>2021-2022</c:v>
                </c:pt>
              </c:strCache>
            </c:strRef>
          </c:cat>
          <c:val>
            <c:numRef>
              <c:f>Sheet3!$P$17:$P$21</c:f>
              <c:numCache>
                <c:formatCode>General</c:formatCode>
                <c:ptCount val="5"/>
                <c:pt idx="0">
                  <c:v>20.68</c:v>
                </c:pt>
                <c:pt idx="1">
                  <c:v>20.32</c:v>
                </c:pt>
                <c:pt idx="2">
                  <c:v>22.08</c:v>
                </c:pt>
                <c:pt idx="3">
                  <c:v>25.94</c:v>
                </c:pt>
                <c:pt idx="4">
                  <c:v>31.7</c:v>
                </c:pt>
              </c:numCache>
            </c:numRef>
          </c:val>
        </c:ser>
        <c:ser>
          <c:idx val="1"/>
          <c:order val="1"/>
          <c:tx>
            <c:strRef>
              <c:f>Sheet3!$Q$14:$Q$16</c:f>
              <c:strCache>
                <c:ptCount val="1"/>
                <c:pt idx="0">
                  <c:v>Net Profit Ratio HDFC (in crores)</c:v>
                </c:pt>
              </c:strCache>
            </c:strRef>
          </c:tx>
          <c:invertIfNegative val="0"/>
          <c:dLbls>
            <c:dLbl>
              <c:idx val="0"/>
              <c:layout>
                <c:manualLayout>
                  <c:x val="1.5521924718665115E-2"/>
                  <c:y val="0"/>
                </c:manualLayout>
              </c:layout>
              <c:showLegendKey val="0"/>
              <c:showVal val="1"/>
              <c:showCatName val="0"/>
              <c:showSerName val="0"/>
              <c:showPercent val="0"/>
              <c:showBubbleSize val="0"/>
              <c:extLst>
                <c:ext xmlns:c15="http://schemas.microsoft.com/office/drawing/2012/chart" uri="{CE6537A1-D6FC-4f65-9D91-7224C49458BB}"/>
              </c:extLst>
            </c:dLbl>
            <c:dLbl>
              <c:idx val="1"/>
              <c:layout>
                <c:manualLayout>
                  <c:x val="1.2025012025012025E-2"/>
                  <c:y val="0"/>
                </c:manualLayout>
              </c:layout>
              <c:showLegendKey val="0"/>
              <c:showVal val="1"/>
              <c:showCatName val="0"/>
              <c:showSerName val="0"/>
              <c:showPercent val="0"/>
              <c:showBubbleSize val="0"/>
              <c:extLst>
                <c:ext xmlns:c15="http://schemas.microsoft.com/office/drawing/2012/chart" uri="{CE6537A1-D6FC-4f65-9D91-7224C49458BB}"/>
              </c:extLst>
            </c:dLbl>
            <c:dLbl>
              <c:idx val="2"/>
              <c:layout>
                <c:manualLayout>
                  <c:x val="1.6835016835016835E-2"/>
                  <c:y val="0"/>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2.7546014244342248E-2"/>
                  <c:y val="3.3399866733805367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3.2356117518471492E-2"/>
                  <c:y val="0"/>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Sheet3!$O$17:$O$21</c:f>
              <c:strCache>
                <c:ptCount val="5"/>
                <c:pt idx="0">
                  <c:v>2017-2018</c:v>
                </c:pt>
                <c:pt idx="1">
                  <c:v>2018-2019</c:v>
                </c:pt>
                <c:pt idx="2">
                  <c:v>2019-2020</c:v>
                </c:pt>
                <c:pt idx="3">
                  <c:v>2020-2021</c:v>
                </c:pt>
                <c:pt idx="4">
                  <c:v>2021-2022</c:v>
                </c:pt>
              </c:strCache>
            </c:strRef>
          </c:cat>
          <c:val>
            <c:numRef>
              <c:f>Sheet3!$Q$17:$Q$21</c:f>
              <c:numCache>
                <c:formatCode>General</c:formatCode>
                <c:ptCount val="5"/>
                <c:pt idx="0">
                  <c:v>21.79</c:v>
                </c:pt>
                <c:pt idx="1">
                  <c:v>21.29</c:v>
                </c:pt>
                <c:pt idx="2">
                  <c:v>22.86</c:v>
                </c:pt>
                <c:pt idx="3">
                  <c:v>25.74</c:v>
                </c:pt>
                <c:pt idx="4">
                  <c:v>28.93</c:v>
                </c:pt>
              </c:numCache>
            </c:numRef>
          </c:val>
        </c:ser>
        <c:dLbls>
          <c:showLegendKey val="0"/>
          <c:showVal val="1"/>
          <c:showCatName val="0"/>
          <c:showSerName val="0"/>
          <c:showPercent val="0"/>
          <c:showBubbleSize val="0"/>
        </c:dLbls>
        <c:gapWidth val="75"/>
        <c:shape val="box"/>
        <c:axId val="1550320096"/>
        <c:axId val="1550320640"/>
        <c:axId val="0"/>
      </c:bar3DChart>
      <c:catAx>
        <c:axId val="1550320096"/>
        <c:scaling>
          <c:orientation val="minMax"/>
        </c:scaling>
        <c:delete val="0"/>
        <c:axPos val="b"/>
        <c:numFmt formatCode="General" sourceLinked="0"/>
        <c:majorTickMark val="none"/>
        <c:minorTickMark val="none"/>
        <c:tickLblPos val="nextTo"/>
        <c:crossAx val="1550320640"/>
        <c:crosses val="autoZero"/>
        <c:auto val="1"/>
        <c:lblAlgn val="ctr"/>
        <c:lblOffset val="100"/>
        <c:noMultiLvlLbl val="0"/>
      </c:catAx>
      <c:valAx>
        <c:axId val="1550320640"/>
        <c:scaling>
          <c:orientation val="minMax"/>
        </c:scaling>
        <c:delete val="0"/>
        <c:axPos val="l"/>
        <c:numFmt formatCode="General" sourceLinked="1"/>
        <c:majorTickMark val="none"/>
        <c:minorTickMark val="none"/>
        <c:tickLblPos val="nextTo"/>
        <c:crossAx val="1550320096"/>
        <c:crosses val="autoZero"/>
        <c:crossBetween val="between"/>
      </c:valAx>
    </c:plotArea>
    <c:legend>
      <c:legendPos val="b"/>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2491</Words>
  <Characters>14204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2</cp:revision>
  <cp:lastPrinted>2023-05-04T15:11:00Z</cp:lastPrinted>
  <dcterms:created xsi:type="dcterms:W3CDTF">2023-05-05T05:02:00Z</dcterms:created>
  <dcterms:modified xsi:type="dcterms:W3CDTF">2023-05-05T05:02:00Z</dcterms:modified>
</cp:coreProperties>
</file>