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spacing w:before="5"/>
        <w:rPr/>
      </w:pPr>
    </w:p>
    <w:p>
      <w:pPr>
        <w:pStyle w:val="style0"/>
        <w:spacing w:before="89"/>
        <w:ind w:left="2200" w:right="2305" w:firstLine="0"/>
        <w:jc w:val="center"/>
        <w:rPr>
          <w:b/>
          <w:sz w:val="28"/>
        </w:rPr>
      </w:pPr>
      <w:r>
        <w:rPr>
          <w:b/>
          <w:sz w:val="28"/>
          <w:lang w:val="en-US"/>
        </w:rPr>
        <w:t>Manufacturing Of Pesticides and Fungicids.</w:t>
      </w:r>
    </w:p>
    <w:p>
      <w:pPr>
        <w:pStyle w:val="style66"/>
        <w:rPr>
          <w:b/>
          <w:sz w:val="20"/>
        </w:rPr>
      </w:pPr>
    </w:p>
    <w:p>
      <w:pPr>
        <w:pStyle w:val="style66"/>
        <w:spacing w:before="2"/>
        <w:rPr>
          <w:b/>
        </w:rPr>
      </w:pPr>
      <w:r>
        <w:rPr/>
        <w:pict>
          <v:rect id="1026" fillcolor="black" stroked="f" style="position:absolute;margin-left:34.56pt;margin-top:15.86pt;width:526.3pt;height:0.48pt;z-index:-2147483645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</w:p>
    <w:p>
      <w:pPr>
        <w:pStyle w:val="style0"/>
        <w:spacing w:before="0" w:lineRule="auto" w:line="264"/>
        <w:ind w:left="2750" w:right="928" w:hanging="1642"/>
        <w:jc w:val="left"/>
        <w:rPr>
          <w:b/>
          <w:sz w:val="28"/>
        </w:rPr>
      </w:pPr>
      <w:r>
        <w:rPr>
          <w:b/>
          <w:sz w:val="28"/>
        </w:rPr>
        <w:t>Prof.</w:t>
      </w:r>
      <w:r>
        <w:rPr>
          <w:b/>
          <w:sz w:val="28"/>
          <w:lang w:val="en-US"/>
        </w:rPr>
        <w:t>A.S.Shirsath , Mr. More Vishal Vijay , Mr.Jadhav Rohan Balasaheb, Mr.Varpe Sarthak Gulab , Mr.Tribhuwan Amit Kishor</w:t>
      </w:r>
    </w:p>
    <w:p>
      <w:pPr>
        <w:pStyle w:val="style0"/>
        <w:spacing w:before="160" w:lineRule="auto" w:line="386"/>
        <w:ind w:left="340" w:right="0" w:firstLine="914"/>
        <w:jc w:val="left"/>
        <w:rPr>
          <w:b/>
          <w:sz w:val="28"/>
        </w:rPr>
      </w:pPr>
      <w:r>
        <w:rPr>
          <w:b/>
          <w:sz w:val="28"/>
        </w:rPr>
        <w:t>PADMASHRI DR.VITTHALRAO VIKHE PATIL INSTITUTE OF</w:t>
      </w:r>
      <w:r>
        <w:rPr>
          <w:b/>
          <w:spacing w:val="-1"/>
          <w:sz w:val="28"/>
        </w:rPr>
        <w:t>TECHONOLOGY</w:t>
      </w:r>
      <w:r>
        <w:rPr>
          <w:b/>
          <w:spacing w:val="-1"/>
          <w:sz w:val="28"/>
        </w:rPr>
        <w:t>&amp;</w:t>
      </w:r>
      <w:r>
        <w:rPr>
          <w:b/>
          <w:spacing w:val="-1"/>
          <w:sz w:val="28"/>
        </w:rPr>
        <w:t>ENGINEERING</w:t>
      </w:r>
      <w:r>
        <w:rPr>
          <w:b/>
          <w:sz w:val="28"/>
        </w:rPr>
        <w:t>(POLYTECHNIC),</w:t>
      </w:r>
      <w:r>
        <w:rPr>
          <w:b/>
          <w:sz w:val="28"/>
        </w:rPr>
        <w:t>LONI-413736</w:t>
      </w:r>
      <w:r>
        <w:rPr>
          <w:b/>
          <w:sz w:val="28"/>
        </w:rPr>
        <w:t>(2023-2024)</w:t>
      </w:r>
    </w:p>
    <w:p>
      <w:pPr>
        <w:pStyle w:val="style0"/>
        <w:spacing w:before="53" w:lineRule="exact" w:line="257"/>
        <w:ind w:left="392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---------------------------------------------------------------------***---------------------------------------------------------------------</w:t>
      </w:r>
    </w:p>
    <w:p>
      <w:pPr>
        <w:pStyle w:val="style0"/>
        <w:spacing w:before="0" w:lineRule="exact" w:line="262"/>
        <w:ind w:left="340" w:right="0" w:firstLine="0"/>
        <w:jc w:val="left"/>
        <w:rPr>
          <w:b/>
          <w:sz w:val="28"/>
        </w:rPr>
      </w:pPr>
      <w:r>
        <w:rPr>
          <w:b/>
          <w:sz w:val="28"/>
        </w:rPr>
        <w:t>ABSTRACT</w:t>
      </w:r>
    </w:p>
    <w:p>
      <w:pPr>
        <w:pStyle w:val="style0"/>
        <w:spacing w:after="0" w:lineRule="exact" w:line="262"/>
        <w:jc w:val="left"/>
        <w:rPr>
          <w:sz w:val="28"/>
        </w:rPr>
        <w:sectPr>
          <w:headerReference w:type="default" r:id="rId2"/>
          <w:footerReference w:type="default" r:id="rId3"/>
          <w:type w:val="continuous"/>
          <w:pgSz w:w="11910" w:h="16850" w:orient="portrait"/>
          <w:pgMar w:top="1320" w:right="180" w:bottom="540" w:left="380" w:header="120" w:footer="351" w:gutter="0"/>
          <w:pgNumType w:start="1"/>
        </w:sectPr>
      </w:pPr>
    </w:p>
    <w:p>
      <w:pPr>
        <w:pStyle w:val="style66"/>
        <w:spacing w:before="203"/>
        <w:ind w:left="719" w:right="38"/>
        <w:jc w:val="both"/>
        <w:rPr/>
      </w:pP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 xml:space="preserve">This Report Presents the information and knowledge gained during planning 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>of Capstone project.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 xml:space="preserve">This report is a summary of all the overview of chemical industry where 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 xml:space="preserve">automation is carried out which we have been able to studied. This report 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 xml:space="preserve">contains detailed information about each &amp; every manufacturing process 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>carried out in industry with the help of automation.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 xml:space="preserve">In this report all the types of automation process are mentioned. All the 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 xml:space="preserve">operating parameters of a specific plant are specified. Also report presents a 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 xml:space="preserve">Every plant wants to reach maximum performance – and automation can 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 xml:space="preserve">help to reduce risks and improve productivity. As such, both of these can 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>translate to lower operational costs.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 xml:space="preserve">This report contains detailed background of automation in chemical 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>industry.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 xml:space="preserve">This report challenges face by chemical industries before automation. 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 xml:space="preserve">Last but not least in this report included the brief background of automation 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>in chemical industry.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>
          <w:w w:val="99"/>
        </w:rPr>
      </w:pPr>
      <w:r>
        <w:rPr>
          <w:w w:val="99"/>
        </w:rPr>
        <w:t xml:space="preserve">This technical report is the summary of what we have learnt during </w:t>
      </w:r>
      <w:r>
        <w:rPr>
          <w:w w:val="99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</w:rPr>
        <w:t>Capstone project planning.</w:t>
      </w:r>
      <w:r>
        <w:rPr>
          <w:w w:val="99"/>
        </w:rPr>
        <w:cr/>
      </w:r>
      <w:r>
        <w:rPr>
          <w:w w:val="99"/>
        </w:rPr>
        <w:br w:type="column"/>
      </w:r>
      <w:r>
        <w:rPr>
          <w:w w:val="99"/>
          <w:lang w:val="en-US"/>
        </w:rPr>
        <w:t>1 Introduction :-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The export of synthetic pesticides banned for use within the European Union (EU) to developing countries is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increasingly questionable, especially given the growing awareness of evidence that these chemicals pose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serious and long-term risks to human health and the environment. While the EU is increasingly concerned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about the export of these products by firms headquartered within the bloc, the overall usage of pesticides is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rising in developing countries, i.e. theWorld Bank categorisation of low- and middle-income countries (LMICs).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The resulting impacts on human life and the planet are contrary to the United Nations’ Sustainable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Development Goals (SDGs) and threaten global food security. These impacts are all the more urgent to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understandand consider at a time when the repercussions of climate changeand the COVID-19 pandemic are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constraining availabilityand access to food.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This report provides an overview of the scale of pesticide use across developing countries, discusses four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notable trends regarding the impacts of its application, and explores the connections between pesticides and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food security. It then details the scale of the problem of pesticides banned for use within the EU being exported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from the bloc, and examines the attitudes of manufacturers that are engaged in this trade.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The report goes on to assess current international, national, and EU arrangements to control pesticides,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including a series of recent developments in developing countries, some of which are notable in part because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they show improvement in laws and because they showthe impact that civil society advocacy can have in this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area. The report concludes with a set of recommendations for the EU, which are intendedto assist in improving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the quality of life for all people across developing countries, in line with the SDGs, in addition to the health of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the planet.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The report is based on a review of published academic literature and publicly available data; interviews with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industry stakeholders, pesticide manufacturer representatives, researchers and academics; and written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contributions from agriculture sector experts focused on Asia, the Middle East, Sub-Saharan Africa, Europe,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and Latin America. In most cases,the experts contributing to this report live and work in the regions that they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specialise in. The report received multiple independent critiques from experts specialising in the agriculture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sector, pesticide use in developing countries, and related public and private sector policies.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The report is intended for a non-specialist audience. Therefore, the word pesticide is used broadly to refer to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all sub-categories of synthetic crop protection products. Biological pesticides are referred to separately. The</w:t>
      </w:r>
      <w:r>
        <w:rPr>
          <w:w w:val="99"/>
          <w:lang w:val="en-US"/>
        </w:rPr>
        <w:cr/>
      </w:r>
    </w:p>
    <w:p>
      <w:pPr>
        <w:pStyle w:val="style4098"/>
        <w:numPr>
          <w:ilvl w:val="0"/>
          <w:numId w:val="0"/>
        </w:numPr>
        <w:tabs>
          <w:tab w:val="left" w:leader="none" w:pos="1080"/>
        </w:tabs>
        <w:spacing w:before="0" w:after="0" w:lineRule="exact" w:line="266"/>
        <w:ind w:left="0" w:right="0" w:firstLine="0"/>
        <w:jc w:val="left"/>
        <w:rPr/>
      </w:pPr>
      <w:r>
        <w:rPr>
          <w:w w:val="99"/>
          <w:lang w:val="en-US"/>
        </w:rPr>
        <w:t>term developing country is used instead of LMICs for similarreasons.</w:t>
      </w:r>
    </w:p>
    <w:p>
      <w:pPr>
        <w:pStyle w:val="style0"/>
        <w:spacing w:after="0" w:lineRule="auto" w:line="259"/>
        <w:jc w:val="both"/>
        <w:rPr/>
      </w:pPr>
    </w:p>
    <w:p>
      <w:pPr>
        <w:pStyle w:val="style0"/>
        <w:spacing w:after="0" w:lineRule="auto" w:line="259"/>
        <w:jc w:val="both"/>
        <w:rPr/>
        <w:sectPr>
          <w:type w:val="continuous"/>
          <w:pgSz w:w="11910" w:h="16850" w:orient="portrait"/>
          <w:pgMar w:top="1320" w:right="180" w:bottom="540" w:left="380" w:header="720" w:footer="720" w:gutter="0"/>
          <w:cols w:equalWidth="0" w:num="2">
            <w:col w:w="4900" w:space="621"/>
            <w:col w:w="5829"/>
          </w:cols>
        </w:sectPr>
      </w:pPr>
    </w:p>
    <w:p>
      <w:pPr>
        <w:pStyle w:val="style66"/>
        <w:spacing w:before="1"/>
        <w:rPr>
          <w:sz w:val="34"/>
        </w:rPr>
      </w:pPr>
    </w:p>
    <w:p>
      <w:pPr>
        <w:pStyle w:val="style4098"/>
        <w:numPr>
          <w:ilvl w:val="1"/>
          <w:numId w:val="7"/>
        </w:numPr>
        <w:tabs>
          <w:tab w:val="left" w:leader="none" w:pos="700"/>
        </w:tabs>
        <w:spacing w:before="0" w:after="0" w:lineRule="exact" w:line="275"/>
        <w:ind w:left="700" w:right="0" w:hanging="360"/>
        <w:jc w:val="left"/>
        <w:rPr/>
      </w:pPr>
      <w:r>
        <w:t>OBJECTIVES</w:t>
      </w:r>
    </w:p>
    <w:p>
      <w:pPr>
        <w:pStyle w:val="style179"/>
        <w:numPr>
          <w:ilvl w:val="2"/>
          <w:numId w:val="7"/>
        </w:numPr>
        <w:tabs>
          <w:tab w:val="left" w:leader="none" w:pos="1060"/>
          <w:tab w:val="left" w:leader="none" w:pos="1061"/>
        </w:tabs>
        <w:spacing w:before="2" w:after="0" w:lineRule="auto" w:line="237"/>
        <w:ind w:left="1060" w:right="38" w:hanging="361"/>
        <w:jc w:val="left"/>
        <w:rPr>
          <w:sz w:val="24"/>
        </w:rPr>
      </w:pPr>
      <w:r>
        <w:rPr>
          <w:sz w:val="24"/>
        </w:rPr>
        <w:t>To</w:t>
      </w:r>
      <w:r>
        <w:rPr>
          <w:sz w:val="24"/>
          <w:lang w:val="en-US"/>
        </w:rPr>
        <w:t xml:space="preserve"> Manufacture of Pesticides and Fungicids (from Neem oil or Neem leaf )</w:t>
      </w:r>
    </w:p>
    <w:p>
      <w:pPr>
        <w:pStyle w:val="style179"/>
        <w:numPr>
          <w:ilvl w:val="2"/>
          <w:numId w:val="7"/>
        </w:numPr>
        <w:tabs>
          <w:tab w:val="left" w:leader="none" w:pos="1060"/>
          <w:tab w:val="left" w:leader="none" w:pos="1061"/>
        </w:tabs>
        <w:spacing w:before="2" w:after="0" w:lineRule="exact" w:line="293"/>
        <w:ind w:left="1060" w:right="0" w:hanging="361"/>
        <w:jc w:val="left"/>
        <w:rPr>
          <w:sz w:val="24"/>
        </w:rPr>
      </w:pPr>
      <w:r>
        <w:rPr>
          <w:sz w:val="24"/>
        </w:rPr>
        <w:t>To</w:t>
      </w:r>
      <w:r>
        <w:rPr>
          <w:sz w:val="24"/>
          <w:lang w:val="en-US"/>
        </w:rPr>
        <w:t xml:space="preserve"> Study about Manufacturing Of Pesticides and Fungicids</w:t>
      </w:r>
      <w:r>
        <w:rPr>
          <w:sz w:val="24"/>
        </w:rPr>
        <w:t>.</w:t>
      </w:r>
    </w:p>
    <w:p>
      <w:pPr>
        <w:pStyle w:val="style179"/>
        <w:numPr>
          <w:ilvl w:val="2"/>
          <w:numId w:val="7"/>
        </w:numPr>
        <w:tabs>
          <w:tab w:val="left" w:leader="none" w:pos="1060"/>
          <w:tab w:val="left" w:leader="none" w:pos="1061"/>
        </w:tabs>
        <w:spacing w:before="0" w:after="0" w:lineRule="exact" w:line="293"/>
        <w:ind w:left="1060" w:right="0" w:hanging="361"/>
        <w:jc w:val="left"/>
        <w:rPr>
          <w:sz w:val="24"/>
        </w:rPr>
      </w:pPr>
      <w:r>
        <w:rPr>
          <w:sz w:val="24"/>
          <w:lang w:val="en-US"/>
        </w:rPr>
        <w:t xml:space="preserve">Uses of Neem leaves for manufacturing of Pesticides and Fungicids </w:t>
      </w:r>
      <w:r>
        <w:rPr>
          <w:sz w:val="24"/>
        </w:rPr>
        <w:t>.</w:t>
      </w:r>
    </w:p>
    <w:p>
      <w:pPr>
        <w:pStyle w:val="style4098"/>
        <w:numPr>
          <w:ilvl w:val="0"/>
          <w:numId w:val="0"/>
        </w:numPr>
        <w:tabs>
          <w:tab w:val="left" w:leader="none" w:pos="1152"/>
        </w:tabs>
        <w:spacing w:before="1" w:after="0" w:lineRule="auto" w:line="240"/>
        <w:ind w:left="0" w:right="0" w:firstLine="0"/>
        <w:jc w:val="left"/>
        <w:rPr/>
      </w:pPr>
    </w:p>
    <w:p>
      <w:pPr>
        <w:pStyle w:val="style179"/>
        <w:numPr>
          <w:ilvl w:val="1"/>
          <w:numId w:val="1"/>
        </w:numPr>
        <w:tabs>
          <w:tab w:val="left" w:leader="none" w:pos="700"/>
        </w:tabs>
        <w:spacing w:before="188" w:after="0" w:lineRule="auto" w:line="240"/>
        <w:ind w:left="700" w:right="0" w:hanging="360"/>
        <w:jc w:val="left"/>
        <w:rPr>
          <w:b/>
          <w:sz w:val="24"/>
        </w:rPr>
      </w:pPr>
      <w:r>
        <w:rPr>
          <w:b/>
          <w:sz w:val="24"/>
          <w:lang w:val="en-US"/>
        </w:rPr>
        <w:t>Types of Pesticides .</w:t>
      </w:r>
    </w:p>
    <w:p>
      <w:pPr>
        <w:numPr>
          <w:ilvl w:val="0"/>
          <w:numId w:val="0"/>
        </w:numPr>
        <w:tabs>
          <w:tab w:val="left" w:leader="none" w:pos="700"/>
        </w:tabs>
        <w:spacing w:before="188" w:after="0" w:lineRule="auto" w:line="240"/>
        <w:ind w:left="0" w:right="0"/>
        <w:jc w:val="left"/>
        <w:rPr>
          <w:b/>
          <w:sz w:val="24"/>
        </w:rPr>
      </w:pPr>
      <w:r>
        <w:rPr>
          <w:b/>
          <w:sz w:val="24"/>
          <w:lang w:val="en-US"/>
        </w:rPr>
        <w:t xml:space="preserve">        </w:t>
      </w:r>
    </w:p>
    <w:p>
      <w:pPr>
        <w:pStyle w:val="style66"/>
        <w:spacing w:before="177" w:lineRule="auto" w:line="259"/>
        <w:ind w:left="560" w:right="155"/>
        <w:jc w:val="both"/>
        <w:rPr/>
      </w:pPr>
      <w:r>
        <w:rPr>
          <w:lang w:val="en-US"/>
        </w:rPr>
        <w:t xml:space="preserve">The Green Revolution succeeded in tripling the food supply but yet it was not enough to feed the growing human </w:t>
        <w:cr/>
      </w:r>
    </w:p>
    <w:p>
      <w:pPr>
        <w:pStyle w:val="style66"/>
        <w:spacing w:before="177" w:lineRule="auto" w:line="259"/>
        <w:ind w:left="560" w:right="155"/>
        <w:jc w:val="both"/>
        <w:rPr/>
      </w:pPr>
      <w:r>
        <w:rPr>
          <w:lang w:val="en-US"/>
        </w:rPr>
        <w:t xml:space="preserve">population. Increased yields have partly been due to the use of improved crop varieties, but mainly due to the use of </w:t>
        <w:cr/>
      </w:r>
    </w:p>
    <w:p>
      <w:pPr>
        <w:pStyle w:val="style66"/>
        <w:spacing w:before="177" w:lineRule="auto" w:line="259"/>
        <w:ind w:left="560" w:right="155"/>
        <w:jc w:val="both"/>
        <w:rPr/>
      </w:pPr>
      <w:r>
        <w:rPr>
          <w:lang w:val="en-US"/>
        </w:rPr>
        <w:t xml:space="preserve">better management practices and use of agrochemicals such as fertilisers and pesticides. Pesticides are of several </w:t>
        <w:cr/>
      </w:r>
    </w:p>
    <w:p>
      <w:pPr>
        <w:pStyle w:val="style66"/>
        <w:spacing w:before="177" w:lineRule="auto" w:line="259"/>
        <w:ind w:left="560" w:right="155"/>
        <w:jc w:val="both"/>
        <w:rPr/>
      </w:pPr>
      <w:r>
        <w:rPr>
          <w:lang w:val="en-US"/>
        </w:rPr>
        <w:t xml:space="preserve">types depending upon the types of pests killed or controlled. These are fungicides, weedicides/herbicides, </w:t>
        <w:cr/>
      </w:r>
    </w:p>
    <w:p>
      <w:pPr>
        <w:pStyle w:val="style66"/>
        <w:spacing w:before="177" w:lineRule="auto" w:line="259"/>
        <w:ind w:left="560" w:right="155"/>
        <w:jc w:val="both"/>
        <w:rPr/>
      </w:pPr>
      <w:r>
        <w:rPr>
          <w:lang w:val="en-US"/>
        </w:rPr>
        <w:t>nematicides, rodenticides, insecticides, and biopesticides.</w:t>
        <w:cr/>
      </w:r>
    </w:p>
    <w:p>
      <w:pPr>
        <w:pStyle w:val="style66"/>
        <w:spacing w:before="129" w:lineRule="auto" w:line="259"/>
        <w:ind w:left="561" w:right="652"/>
        <w:jc w:val="both"/>
        <w:rPr/>
      </w:pPr>
      <w:r>
        <w:br w:type="column"/>
      </w:r>
    </w:p>
    <w:p>
      <w:pPr>
        <w:pStyle w:val="style4098"/>
        <w:numPr>
          <w:ilvl w:val="1"/>
          <w:numId w:val="1"/>
        </w:numPr>
        <w:tabs>
          <w:tab w:val="left" w:leader="none" w:pos="701"/>
        </w:tabs>
        <w:spacing w:before="124" w:after="0" w:lineRule="auto" w:line="240"/>
        <w:ind w:left="700" w:right="0" w:hanging="361"/>
        <w:jc w:val="left"/>
        <w:rPr>
          <w:rFonts w:ascii="Cambria"/>
        </w:rPr>
      </w:pPr>
      <w:r>
        <w:rPr>
          <w:lang w:val="en-US"/>
        </w:rPr>
        <w:t>FUNGICIDS</w:t>
      </w:r>
    </w:p>
    <w:p>
      <w:pPr>
        <w:pStyle w:val="style0"/>
        <w:spacing w:after="0" w:lineRule="auto" w:line="259"/>
        <w:jc w:val="both"/>
        <w:rPr/>
      </w:pP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         These are substances used to eliminate the fungal infection on crops and destroy fungal pathogens. Inorganic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fungicides include Bordeaux mixture, Burgandy Mixtue, sulphur, mercuric chloride, etc. Organic fungicides are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dithane S-21, dithane M-22, dithane Z-78 (all carbamates), oxanthiins (e.g., vitavax), mercury compounds (e.g.,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agrosan, tillex), benzimidiazole derivatives (e.g., benlate). Thiram and Ziram is fungicide but toxic to aquatic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zooplanktons. Phytochemical extraction such as Neem oil containing Azadirachtin and Nimbin are antifungal in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properties. Fentin is another example of fungicide.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1.3 Weedicides/Herbicides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Herbicides and weedicides are used to kill the unwanted plants or weeds in agricultural land. Depending upon the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mode of action, there are selective and nonselective herbicides, contact herbicides, translocated herbicides, foliage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applied and soil applied herbicides. Herbicides can be triazines (e.g., atrazine, simazine) carbamates (e.g.,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thiocarbamates, phenyl carbamates) and auxin derivatives (e.g., 2,4-D, and 2, 4, 5-T). The mixture of 2,4-D, and 2,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4, 5-T is known as Agent orange used as defoliant and herbicides developed during world war-II. Modern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herbicides may develop Parkinson’s disorder in human such as paraquat. Atrazine, a herbicide act as a teratogen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and influences the gender development in frogs during metamorphosis.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1.4 Nematicides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They kill or repel nematodes, e.g., Aldirab is acetylcholine esterase inhibitor used to kill the nematodes which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infects the tobacco production in farming. A nematode Meloidegyne incognitia infects the roots of tobacco plants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and causes a great reduction in yield. Purpureocillium lilacinum is used as biological control agent (BCA), it infest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the Meloidegyne incognitia. One strain of P. lilacinum             has been shown to produce proteases and a chitinase,       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enzymes that could weaken a nematode egg shell so as to enable a narrow infection peg to push through.5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Paecilomyces, nematophgus carnivorous fungi, can be useful to control nematode attack. methyl bromide (MB),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ethylene dibromide (EDB), chloropicrin are also nematicides. Soil steam sterilization (SSS) or soil steaming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technique is used to disinfect the soil from nematode/pathogen by enzyme inactivation using heat treatment. </w:t>
      </w:r>
    </w:p>
    <w:p>
      <w:pPr>
        <w:pStyle w:val="style0"/>
        <w:spacing w:after="0" w:lineRule="auto" w:line="259"/>
        <w:ind w:left="0"/>
        <w:jc w:val="both"/>
        <w:rPr/>
      </w:pP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1.5 Rodenticides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It is commonly known as rat poison, e.g., Na+-fluoroacetate, warfarin, red squill, Zinc phosphide. Rodenticides has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inhibitory effects on Vitamin-K cycle in rodents as well mammals thus death of pest. Vitamin D3, D2, and D causes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hypercalcemia in rodents. Strychnine, obtained from Strychnos nux-vomica tree or Semen nut tree is rodenticide,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causes asphyxia in rats, thus death. Chloralose is a chlorinated acetal derivative of glucose, used as rodenticide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and avicide too. In combination with copper aceatate the arsenic trioxide forms Paris Green rodenticide, which is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used also in blue colorant in fireworks.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1.6 Insecticides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Insecticides are stomach/alimentary canal poisons (poisonous on ingestion), contact poisons or fumigants (inhaled)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to the insects. Natural insecticides include Azadirachta indica (Margosa/Neem), Boenighausenia albiflora,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Peganum harmala, Derris (rotenone) and Chrysanthemum (pyrethrum). Azadirachta indica is also used as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larvicide. Aquabac and Vectobac are larvicides. First commerical bioinsecticide is sporeine developed in Germany.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Insect growth regulator (IGR) are substances used as insecticide which inhibits the exoskeleton development or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chitin synthesis, JH and Ecdysone synthesis on insects such as mosquitoes, cockroaches etc. The example of IGR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are azadirachtin, hydroprene etc. Synthetic insecticides are organochlorines, organophosphates, carbamates and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pyrethroids, Ethylene dibromide (EDB) is a volatile liquid (fumigant) used in controlling insect pests in stored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grains and fruits. Chemical pesticides are toxic chemicals used in killing pests. On the basis of chemical structure,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major pesticides are grouped into: (i) Organochlorines, (ii) Organophosphates, (iii) Carbamates (iv) Pyrethroids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and (v) Triazines.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(i) Organochlorines: These are basically organic compounds that have been chlorinated. Organochlorines are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lipophilic and show much affinity for fatty tissue of animals. Organochlorines have very low bio-degradation, get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accumulated in environment causing serious problems. Important examples of organochlorines are (a) DDT, (b)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BHC, (c) Aldrin and (d) Endosulphan.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(a) DDT (Dichlorodiphenyl trichloroethane): DDT was first synthesized by a German chemist Othnar Zeidler in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1874 and its insecticidal value was discovered by Paul Muller in 1939. DDT is the most famous pesticide of the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world and is a non-biodegradable pollutant. Spraying of DDT on crops produces pollution of air, soil and water. In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India, as a result of prolonged use of DDT, 13-31 ppm of DDT can be detected in the body fat of the people, highest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in the world. DDT concentrates from water into the body and magnified in higher members of the food web.9 DDT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tolerance level is 10ppm for a freshwater crustacean Daphnia and this means Daphnia will die beyond that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concentration. DDT has become ineffective for killing mosquitoes because of the development of adaptive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resistance. DDT does not inhibit cholinesterase activity and is relatively non-toxic to mammals, but in oil solution it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is absorbed by skin. Pesticide (DDT) is banned now a days because DDT interacts with the food-chain in our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ecosystem and causes serious damages and loss of biodiversity. For example; biomagnification,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or bioamplification is the increasing concentration of a substance, such as a toxic chemical like DDT or mercury, in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the tissues of organisms at successively higher levels in a food chain.</w:t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 In this manner, the concentration of DDT is increased at successive trophic levels; say if it starts at 0.003 ppb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(parts per billion) in water, it can ultimately reach 25 ppm (parts per million) in fish-eating birds, through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biomagnification. High concentrations of DDT disturb Ca2+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-metabolism in birds, which causes thinning of eggshell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and their premature breaking, eventually causing decline in bird populations. Toxaphene, a cotton pesticide is also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banned in USA causes serious health problems of nervous system.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(b) Lindane: γ-hexachlorocyclohexane/Gammaxene/Lindane was 1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st synthesized by Michael Faraday in 1825 and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its insecticidal value was independently discovered by Dupire (1941) in France and Leicester (1942) in England. It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is most common pesticide used in India, represents about 50% of total volume of pesticides used in India. Lindane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can bioaccumulate in food-chain thus more toxicant than DDT. Lindane is used in shampoos and lotion.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(c) Aldrin (Octalene): Aldrin is an insecticide named after German chemist Kurt Alder, applied to foundations of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buildings to prevent termites. It has been successfully used in control of locusts and grasshoppers in Asian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countries. Aldrin, Dieldrin and Endrin are very poisonous pesticides.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(d) Endosulphan (Thiodan) C9H6Cl6O2S : Endosulphan is a pesticide and is useful used in agriculture in the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control of insect pests including whiteflies, aphids, leafhoppers, Colorado potato beetles and cabbage worms. It is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also endocrine disruptor and carcinogenic to humans.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(e) Mirex: it is insecticide used to kill fire ants in agricultural lands. It was banned in USA because of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biomagnifications to the turtles, coyotes, and other animals. It is potent endocrine disruptor to animals including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human being.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(ii) Organophosphates: The insecticidal properties of organophosphates were discovered by Schrader.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Organophosphates are the pesticides most toxic to verterbrates. Organophosphates inhibit cholinesterase, an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enzyme essential for transmission of nerve impulse across synapse. Malathion, parathion and fenitrothion are main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organophosphates used in Asian countries. Malathion is one of the two active ingredients in Flit, the second being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Pyrethrin derived from Chrysanthemum cinerariifolium. Examples of pyrethroids are Allethrin, Cyclethrin and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Barthrin which are quick-acting broad spectrum insecticides. Mosquito-repelling coils contain pyrethrin. Naled is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insecticide used to control for the spread of Zika virus in USA during 2015. Fanthion insecticide used to control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mosquito in India, but its manufacturing is banned in 2017 due to environmental impact.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(iii) Carbamates : Carbamates are derivatives of carbanic acid and have an – OCON = group in the molecule.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Some commonly used carbamates are Carbofuran (Furadan), Propoxur (Baygon) and Aldicarb (Temik).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Derivatives of carbamates are also used as herbicides (phenylcarbamates, thiocarbamates) and Fungicides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dithiocarbamates. Carbamates are useful in the control of nematodes and snails. Mode of action of carbamates is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quite similar to that of organophosphates. Methyl isocyanate gas which caused Bhopal gas tragedy India on 3rd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Dec. 1984, is used as a raw material for synthesizing Carbaryl (Selvin).</w:t>
      </w:r>
    </w:p>
    <w:p>
      <w:pPr>
        <w:pStyle w:val="style0"/>
        <w:spacing w:after="0" w:lineRule="auto" w:line="259"/>
        <w:ind w:left="0"/>
        <w:jc w:val="both"/>
        <w:rPr/>
      </w:pPr>
    </w:p>
    <w:p>
      <w:pPr>
        <w:pStyle w:val="style0"/>
        <w:spacing w:after="0" w:lineRule="auto" w:line="259"/>
        <w:ind w:left="0"/>
        <w:jc w:val="both"/>
        <w:rPr/>
      </w:pPr>
    </w:p>
    <w:p>
      <w:pPr>
        <w:pStyle w:val="style0"/>
        <w:spacing w:after="0" w:lineRule="auto" w:line="259"/>
        <w:ind w:left="0"/>
        <w:jc w:val="both"/>
        <w:rPr/>
      </w:pP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2. PLANTS AND MICROBES AS BIOCONTROL AGENTS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Biocontrol refers to the use of biological methods for controlling plant diseases and pests. Biopesticides are living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organisms of their products used for killing pests of interfering with their metabolism. Biopesticides are the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biological substances that are used to control weeds, insects and pathogens such as viruses, bacteria, fungi,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protozoa and mites. Some of the examples of Biopesticides are control of weeds by use of mycoherbicides and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control of insects by use of bioinsecticides like Sporeine, fungal pathogens can be controlled by Trichoderma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(Ascomycetes)- a free living fungi as it has the ability to secrete chitinase, use of bacterium Bacillus thirungenesis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in case of Bt cotton which produce toxins.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Bioherbicides are used as biological control of weeds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involves-utilization of insects which would feed selectively on weeds and use of certain microorganisms which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produce diseases in weeds and eliminate them. In India and Australia, the overgrown of cacti was checked by the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introduction of cochineal insect (Cactoblastis cactorum). The first bioherbicide was mycoherbicide, based on the fungus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Phytophthora palmivora, and was developed in 1981. Anabasine is derived from Nicotiana glauca, Annonin from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Annona squamosa seeds, Cinnamaldehyde, a from Cinnamomum, Rotenone from Derris spp., Ryania from roots of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Ryania speciosa, Oregano oils etc. are used as bioinsecticide. Baculoviruses are pathogens that attack insects and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other arthropods. The majority of baculoviruses used as BCA are in the genus Nucleopolyhedrovirus. These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viruses are excellent candidates for species-specific, narrow spectrum insecticidal applications. They have been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shown to have no negative impacts on plants, mammals, birds, fish or even on non-target insects. This is especially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desirable when beneficial insects are being conserved to aid in an overall integrated pest management (IPM)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programme, or when an ecologically sensitive area is being treated. Cydia pomonella granulosis virus (CpGV) is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a granulovirus belonging to the family Baculoviridae is also used as biopesticide. The presence of Chitosan, a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linear polysaccharide, a plant in the presence of this product will naturally induce systemic resistance to allow the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plant to defend itself against disease, pathogens and pests. Viruside is used to inactivate the virus by preventing its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multiplication in any host, thus control viral growth or viral load in recipient one. Cyanovirin-N from Cyanobacteria Nostoc, Virkon, Scytovirin, Griffithsin are virucides used in medicinal researches. Chrysophytes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such as Diatoms are used as biopesticide and anticacking agent in biofarming, Bonsai development, and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hydroponics practices. Bacillus popilliae or Milky spore is used for the control of Japanese beetle. Sporeine was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the first bioinsecticide developed on commercial scale in Germany. Sporeine kills insects by inhibiting ion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transport in the midgut. Genes for some of these toxins have been isolated and transferred to host through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recombinant DNA technology (transgenic plants). Transgenic plants of tomato showing resistance to horn worm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larvae have been obtained. Integrated pest management is the selection, integration and implementation of pest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control based on predicted economic, ecological and sociological consequences. IPM is based on the assumption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that no single safe pest control. Method will be successful. IPM, therefore, seeks to use a variety of biological,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physical and chemical methods integrated into a cohesive scheme designed to provide long-term protection.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Biological methods include using natural predators of pests, using resistant varieties, crop rotation, intercropping,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etc. Mechanical methods include manual destruction of eggs of pests, removing weeds, etc. Use of chemical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pesticides is carefully timed.</w:t>
        <w:cr/>
      </w:r>
    </w:p>
    <w:p>
      <w:pPr>
        <w:pStyle w:val="style0"/>
        <w:spacing w:after="0" w:lineRule="auto" w:line="259"/>
        <w:ind w:left="0"/>
        <w:jc w:val="both"/>
        <w:rPr/>
      </w:pPr>
    </w:p>
    <w:p>
      <w:pPr>
        <w:pStyle w:val="style0"/>
        <w:spacing w:after="0" w:lineRule="auto" w:line="259"/>
        <w:ind w:left="0"/>
        <w:jc w:val="both"/>
        <w:rPr/>
      </w:pP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3. CONCLUSION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Top pesticide consuming countries are China (1,806millions Kg/year), US (386millions Kg/year), Argentina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(265millions Kg/year), Thailand (87millions Kg/year), Brazil (76millions Kg/year), Italy (63millions Kg/year),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France (62millions Kg/year), Canada (54millions Kg/year), Japan (52millions Kg/year), and India (40millions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Kg/year) in the world. No doubt, the pesticides improve the crop productivity in agricultural land as well as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promote the faster growth to plants, thus improve the economy, and satisfy the demands but, on dark side, the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higher exposure of pesticides may influence abiotic and biotic factors. The soil quality, water purity, air quality all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is dealt with it as biomagnification. Some pesticides are mutagenic and carcinogenic for plants (tumor formation) as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well human. Thus, eco-friendly pesticides shall be modified through researches which may better serve to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environment and significant for all human beings. Neem oil, citrus oil, mineral oil, Eucalyptus oil, onion and garlic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spray, Chrysanthemum flower tea, chile pepper are eco-friendly pesticides. Just as tobacco is hazardous and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carcinogenic to humans, tobacco spray was once a commonly used pesticide for killing pests, caterpillars, and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aphids. Mix one cup of organic tobacco (preferably a brand that is organic and all-natural) into one gallon of water.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Allow the mixture to set overnight. After 24-hours, the mix should have a light brown color. If it is very dark, add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more water. This mix can be used on most plants, except those in the solanaceae family (tomatoes, peppers,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eggplants, etc.).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REFERENCES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[1] Rao GV, Rupela OP, Rao VR, Reddy YV (2007). "Role of biopesticides in crop protection: present status and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future prospects" (PDF). Indian Journal of Plant Protection. 35 (1): 1–9.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[2] W. Kraus, "Biologically active ingredients-azadirachtin and other triterpenoids", in: H. Schutterer (Ed.), The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Neem Tree Azadirachta indica A. Juss and Other Meliaceous Plants, Weinheim, New York, 1995, p 35-88</w:t>
      </w:r>
    </w:p>
    <w:p>
      <w:pPr>
        <w:pStyle w:val="style0"/>
        <w:spacing w:after="0" w:lineRule="auto" w:line="259"/>
        <w:ind w:left="0"/>
        <w:jc w:val="both"/>
        <w:rPr/>
      </w:pP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[3] Dinis-Oliveira, R.J.; Remião, F.; Carmo, H.; Duarte, J.A.; Navarro, A. Sánchez; Bastos, M.L.; Carvalho, F.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(2006). "Paraquat exposure as an etiological factor of Parkinson's disease". NeuroToxicology. 27 (6): 1110–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22. doi:10.1016/j.neuro.2006.05.012. PMID 16815551.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[4] Hayes, T. B.; Collins, A.; Lee, M.; Mendoza, M.; Noriega, N.; Stuart, A. A.; Vonk, A.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(2002). "Hermaphroditic, demasculinized frogs after exposure to the herbicide atrazine at low ecologically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relevant doses". Proceedings of the National Academy of Sciences. 99 (8): 5476–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80. Bibcode:2002PNAS.99.5476H. doi:10.1073/pnas.082121499. PMC 122794 . PMID 11960004.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[5] Khan A, Williams KL, Nevalainen HK (2004). "Effects of Paecilomyces lilacinus protease and chitinase on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the eggshell structures and hatching of Meloidogyne javanica juveniles". Biological Control. 31 (3): 346–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52. doi:10.1016/j.biocontrol.2004.07.011.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[6] Bettermann, G.; Krause, W.; Riess, G.; Hofmann, T. (2002). "Phosphorus Compounds, Inorganic". Ullmann's 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Encyclopedia of Industrial Chemistry. Weinheim: Wiley-VCH. doi:10.1002/14356007.a19_527.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>[7] Sharma, R. K., Consice textbook of forensic medicine &amp; toxicology, Elsevier, 2008</w:t>
        <w:cr/>
      </w:r>
    </w:p>
    <w:p>
      <w:pPr>
        <w:pStyle w:val="style0"/>
        <w:spacing w:after="0" w:lineRule="auto" w:line="259"/>
        <w:ind w:left="0"/>
        <w:jc w:val="both"/>
        <w:rPr/>
      </w:pPr>
      <w:r>
        <w:rPr>
          <w:lang w:val="en-US"/>
        </w:rPr>
        <w:t xml:space="preserve">[8] Silverman J, Muir WW (Jun 1993). "A review of laboratory animal anesthesia with chloral hydrate and </w:t>
        <w:cr/>
      </w:r>
    </w:p>
    <w:p>
      <w:pPr>
        <w:pStyle w:val="style0"/>
        <w:spacing w:after="0" w:lineRule="auto" w:line="259"/>
        <w:ind w:left="0"/>
        <w:jc w:val="both"/>
        <w:rPr/>
        <w:sectPr>
          <w:pgSz w:w="11910" w:h="16850" w:orient="portrait"/>
          <w:pgMar w:top="1320" w:right="180" w:bottom="540" w:left="380" w:header="120" w:footer="351" w:gutter="0"/>
          <w:cols w:equalWidth="0" w:num="2">
            <w:col w:w="5396" w:space="53"/>
            <w:col w:w="5901"/>
          </w:cols>
        </w:sectPr>
      </w:pPr>
      <w:r>
        <w:rPr>
          <w:lang w:val="en-US"/>
        </w:rPr>
        <w:t>chloralose". Lab Anim Sci. 43 (3): 210–6. PMID 8355479.</w:t>
        <w:cr/>
      </w:r>
    </w:p>
    <w:p>
      <w:pPr>
        <w:pStyle w:val="style0"/>
        <w:spacing w:after="0" w:lineRule="auto" w:line="259"/>
        <w:jc w:val="both"/>
        <w:rPr/>
        <w:sectPr>
          <w:type w:val="continuous"/>
          <w:pgSz w:w="11910" w:h="16850" w:orient="portrait"/>
          <w:pgMar w:top="1320" w:right="180" w:bottom="540" w:left="380" w:header="720" w:footer="720" w:gutter="0"/>
          <w:cols w:equalWidth="0" w:num="2">
            <w:col w:w="5248" w:space="40"/>
            <w:col w:w="6062"/>
          </w:cols>
        </w:sectPr>
      </w:pPr>
    </w:p>
    <w:p>
      <w:pPr>
        <w:pStyle w:val="style0"/>
        <w:spacing w:after="0" w:lineRule="auto" w:line="259"/>
        <w:jc w:val="both"/>
        <w:rPr/>
        <w:sectPr>
          <w:pgSz w:w="11910" w:h="16850" w:orient="portrait"/>
          <w:pgMar w:top="1320" w:right="180" w:bottom="540" w:left="380" w:header="120" w:footer="351" w:gutter="0"/>
          <w:cols w:equalWidth="0" w:num="2">
            <w:col w:w="5289" w:space="160"/>
            <w:col w:w="5901"/>
          </w:cols>
        </w:sectPr>
      </w:pPr>
    </w:p>
    <w:p>
      <w:pPr>
        <w:pStyle w:val="style66"/>
        <w:spacing w:before="129" w:lineRule="auto" w:line="259"/>
        <w:ind w:left="340" w:right="151"/>
        <w:rPr/>
      </w:pPr>
    </w:p>
    <w:p>
      <w:pPr>
        <w:pStyle w:val="style66"/>
        <w:spacing w:before="152" w:lineRule="auto" w:line="259"/>
        <w:ind w:left="340" w:right="652" w:firstLine="288"/>
        <w:jc w:val="both"/>
        <w:rPr/>
      </w:pPr>
    </w:p>
    <w:sectPr>
      <w:pgSz w:w="11910" w:h="16850" w:orient="portrait"/>
      <w:pgMar w:top="1320" w:right="180" w:bottom="540" w:left="380" w:header="120" w:footer="351" w:gutter="0"/>
      <w:cols w:equalWidth="0" w:num="2">
        <w:col w:w="5396" w:space="52"/>
        <w:col w:w="5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lineRule="auto" w:line="14"/>
      <w:rPr>
        <w:sz w:val="20"/>
      </w:rPr>
    </w:pPr>
    <w:r>
      <w:rPr/>
      <w:pict>
        <v:shape id="4101" coordsize="10526,89" coordorigin="691,16210" path="m11217,16284l691,16284,691,16298,11217,16298,11217,16284xm11217,16210l691,16210,691,16270,11217,16270,11217,16210xe" fillcolor="#612322" stroked="f" style="position:absolute;margin-left:34.56pt;margin-top:810.48pt;width:526.3pt;height:4.45pt;z-index:-2147483643;mso-position-horizontal-relative:page;mso-position-vertical-relative:page;mso-width-relative:page;mso-height-relative:page;mso-wrap-distance-left:0.0pt;mso-wrap-distance-right:0.0pt;visibility:visible;">
          <v:stroke on="f"/>
          <v:fill/>
          <v:path textboxrect="691,16210,11217,16299" arrowok="t"/>
        </v:shap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3" type="#_x0000_t202" filled="f" stroked="f" style="position:absolute;margin-left:35.0pt;margin-top:815.02pt;width:66.85pt;height:13.7pt;z-index:-2147483642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9"/>
                  <w:ind w:left="20" w:right="0" w:firstLine="0"/>
                  <w:jc w:val="left"/>
                  <w:rPr>
                    <w:rFonts w:ascii="Cambria" w:hAnsi="Cambria"/>
                    <w:b/>
                    <w:sz w:val="20"/>
                  </w:rPr>
                </w:pPr>
                <w:r>
                  <w:rPr>
                    <w:rFonts w:ascii="Cambria" w:hAnsi="Cambria"/>
                    <w:b/>
                    <w:color w:val="575757"/>
                    <w:sz w:val="20"/>
                  </w:rPr>
                  <w:t>©</w:t>
                </w:r>
                <w:r>
                  <w:rPr>
                    <w:rFonts w:ascii="Cambria" w:hAnsi="Cambria"/>
                    <w:b/>
                    <w:color w:val="575757"/>
                    <w:sz w:val="20"/>
                  </w:rPr>
                  <w:t>2022,</w:t>
                </w:r>
                <w:r>
                  <w:rPr>
                    <w:rFonts w:ascii="Cambria" w:hAnsi="Cambria"/>
                    <w:b/>
                    <w:color w:val="575757"/>
                    <w:sz w:val="20"/>
                  </w:rPr>
                  <w:t>ISJEM</w:t>
                </w:r>
              </w:p>
            </w:txbxContent>
          </v:textbox>
        </v:shape>
      </w:pict>
    </w:r>
    <w:r>
      <w:rPr/>
      <w:pict>
        <v:shape id="4104" type="#_x0000_t202" filled="f" stroked="f" style="position:absolute;margin-left:112.78pt;margin-top:815.02pt;width:76.55pt;height:13.7pt;z-index:-2147483641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9"/>
                  <w:ind w:left="20" w:right="0" w:firstLine="0"/>
                  <w:jc w:val="left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b/>
                    <w:color w:val="575757"/>
                    <w:sz w:val="20"/>
                  </w:rPr>
                  <w:t>|</w:t>
                </w:r>
                <w:r>
                  <w:rPr/>
                  <w:fldChar w:fldCharType="begin"/>
                </w:r>
                <w:r>
                  <w:instrText xml:space="preserve"> HYPERLINK "http://www.isjem.com/" </w:instrText>
                </w:r>
                <w:r>
                  <w:rPr/>
                  <w:fldChar w:fldCharType="separate"/>
                </w:r>
                <w:r>
                  <w:rPr>
                    <w:rFonts w:ascii="Cambria"/>
                    <w:sz w:val="20"/>
                  </w:rPr>
                  <w:t>www.isjem.com|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v:shape id="4105" type="#_x0000_t202" filled="f" stroked="f" style="position:absolute;margin-left:204.9pt;margin-top:815.02pt;width:37.7pt;height:13.7pt;z-index:-2147483640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9"/>
                  <w:ind w:left="20" w:right="0" w:firstLine="0"/>
                  <w:jc w:val="left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sz w:val="20"/>
                  </w:rPr>
                  <w:t>Page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0"/>
                  </w:rPr>
                  <w:instrText xml:space="preserve">PAGE </w:instrText>
                </w:r>
                <w:r>
                  <w:rPr/>
                  <w:fldChar w:fldCharType="separate"/>
                </w:r>
                <w:r>
                  <w:t>10</w:t>
                </w:r>
                <w:r>
                  <w:rPr/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lineRule="auto" w:line="14"/>
      <w:rPr>
        <w:sz w:val="20"/>
      </w:rPr>
    </w:pPr>
    <w:r>
      <w:rPr/>
      <w:pict>
        <v:group id="4097" filled="f" stroked="f" style="position:absolute;margin-left:29.4pt;margin-top:6.0pt;width:530.75pt;height:51.15pt;z-index:-2147483645;mso-position-horizontal-relative:page;mso-position-vertical-relative:page;mso-width-relative:page;mso-height-relative:page;mso-wrap-distance-left:0.0pt;mso-wrap-distance-right:0.0pt;visibility:visible;" coordsize="10615,1023" coordorigin="588,120">
          <v:line id="4098" stroked="t" from="675.0pt,1135.0pt" to="11203.0pt,1135.0pt" style="position:absolute;z-index:3;mso-position-horizontal-relative:text;mso-position-vertical-relative:text;mso-width-relative:page;mso-height-relative:page;visibility:visible;">
            <v:stroke color="gray"/>
            <v:fill/>
          </v:line>
          <v:shape id="4099" type="#_x0000_t75" filled="f" stroked="f" style="position:absolute;left:588;top:120;width:944;height:1001;z-index:4;mso-position-horizontal-relative:text;mso-position-vertical-relative:text;mso-width-relative:page;mso-height-relative:page;visibility:visible;">
            <v:imagedata r:id="rId1" embosscolor="white" o:title=""/>
            <v:fill/>
          </v:shape>
          <v:fill/>
        </v:group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0" type="#_x0000_t202" filled="f" stroked="f" style="position:absolute;margin-left:64.66pt;margin-top:18.06pt;width:465.65pt;height:33.3pt;z-index:-214748364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0"/>
                  <w:ind w:left="15" w:right="15" w:firstLine="0"/>
                  <w:jc w:val="center"/>
                  <w:rPr>
                    <w:rFonts w:ascii="Cambria"/>
                    <w:b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International</w:t>
                </w:r>
                <w:r>
                  <w:rPr>
                    <w:rFonts w:ascii="Cambria"/>
                    <w:b/>
                    <w:sz w:val="28"/>
                  </w:rPr>
                  <w:t>Scientific</w:t>
                </w:r>
                <w:r>
                  <w:rPr>
                    <w:rFonts w:ascii="Cambria"/>
                    <w:b/>
                    <w:sz w:val="28"/>
                  </w:rPr>
                  <w:t>Journal</w:t>
                </w:r>
                <w:r>
                  <w:rPr>
                    <w:rFonts w:ascii="Cambria"/>
                    <w:b/>
                    <w:sz w:val="28"/>
                  </w:rPr>
                  <w:t>of</w:t>
                </w:r>
                <w:r>
                  <w:rPr>
                    <w:rFonts w:ascii="Cambria"/>
                    <w:b/>
                    <w:sz w:val="28"/>
                  </w:rPr>
                  <w:t>Engineering</w:t>
                </w:r>
                <w:r>
                  <w:rPr>
                    <w:rFonts w:ascii="Cambria"/>
                    <w:b/>
                    <w:sz w:val="28"/>
                  </w:rPr>
                  <w:t>and</w:t>
                </w:r>
                <w:r>
                  <w:rPr>
                    <w:rFonts w:ascii="Cambria"/>
                    <w:b/>
                    <w:sz w:val="28"/>
                  </w:rPr>
                  <w:t>Management</w:t>
                </w:r>
                <w:r>
                  <w:rPr>
                    <w:rFonts w:ascii="Cambria"/>
                    <w:b/>
                    <w:sz w:val="28"/>
                  </w:rPr>
                  <w:t>(ISJEM)</w:t>
                </w:r>
              </w:p>
              <w:p>
                <w:pPr>
                  <w:pStyle w:val="style0"/>
                  <w:spacing w:before="63"/>
                  <w:ind w:left="15" w:right="11" w:firstLine="0"/>
                  <w:jc w:val="center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color w:val="7e7e7e"/>
                    <w:sz w:val="20"/>
                  </w:rPr>
                  <w:t>Volume:</w:t>
                </w:r>
                <w:r>
                  <w:rPr>
                    <w:rFonts w:ascii="Cambria"/>
                    <w:b/>
                    <w:color w:val="7e7e7e"/>
                    <w:sz w:val="20"/>
                  </w:rPr>
                  <w:t>01</w:t>
                </w:r>
                <w:r>
                  <w:rPr>
                    <w:rFonts w:ascii="Cambria"/>
                    <w:b/>
                    <w:color w:val="7e7e7e"/>
                    <w:sz w:val="20"/>
                  </w:rPr>
                  <w:t>Issue:</w:t>
                </w:r>
                <w:r>
                  <w:rPr>
                    <w:rFonts w:ascii="Cambria"/>
                    <w:b/>
                    <w:color w:val="7e7e7e"/>
                    <w:sz w:val="20"/>
                  </w:rPr>
                  <w:t>04</w:t>
                </w:r>
                <w:r>
                  <w:rPr>
                    <w:rFonts w:ascii="Cambria"/>
                    <w:b/>
                    <w:color w:val="7e7e7e"/>
                    <w:sz w:val="20"/>
                  </w:rPr>
                  <w:t>| April-2022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3"/>
      <w:numFmt w:val="decimal"/>
      <w:lvlText w:val="%1"/>
      <w:lvlJc w:val="left"/>
      <w:pPr>
        <w:ind w:left="906" w:hanging="425"/>
        <w:jc w:val="left"/>
      </w:pPr>
      <w:rPr>
        <w:rFonts w:hint="default"/>
        <w:lang w:val="en-US" w:bidi="ar-SA" w:eastAsia="en-US"/>
      </w:rPr>
    </w:lvl>
    <w:lvl w:ilvl="1">
      <w:start w:val="6"/>
      <w:numFmt w:val="decimal"/>
      <w:lvlText w:val="%1.%2"/>
      <w:lvlJc w:val="left"/>
      <w:pPr>
        <w:ind w:left="906" w:hanging="425"/>
        <w:jc w:val="right"/>
      </w:pPr>
      <w:rPr>
        <w:rFonts w:hint="default"/>
        <w:b/>
        <w:bCs/>
        <w:w w:val="100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899" w:hanging="425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399" w:hanging="425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898" w:hanging="425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3398" w:hanging="425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3898" w:hanging="425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4398" w:hanging="425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4897" w:hanging="425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FFFFFFFF"/>
    <w:lvl w:ilvl="0">
      <w:start w:val="3"/>
      <w:numFmt w:val="decimal"/>
      <w:lvlText w:val="%1"/>
      <w:lvlJc w:val="left"/>
      <w:pPr>
        <w:ind w:left="700" w:hanging="360"/>
        <w:jc w:val="left"/>
      </w:pPr>
      <w:rPr>
        <w:rFonts w:hint="default"/>
        <w:lang w:val="en-US" w:bidi="ar-SA" w:eastAsia="en-US"/>
      </w:rPr>
    </w:lvl>
    <w:lvl w:ilvl="1">
      <w:start w:val="0"/>
      <w:numFmt w:val="decimal"/>
      <w:lvlText w:val="%1.%2"/>
      <w:lvlJc w:val="left"/>
      <w:pPr>
        <w:ind w:left="700" w:hanging="360"/>
        <w:jc w:val="right"/>
      </w:pPr>
      <w:rPr>
        <w:rFonts w:ascii="Times New Roman" w:cs="Times New Roman" w:eastAsia="Times New Roman" w:hAnsi="Times New Roman" w:hint="default"/>
        <w:b/>
        <w:bCs/>
        <w:w w:val="100"/>
        <w:sz w:val="24"/>
        <w:szCs w:val="24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638" w:hanging="36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107" w:hanging="36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576" w:hanging="36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3045" w:hanging="36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3514" w:hanging="36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3983" w:hanging="36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4452" w:hanging="36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FFFFFFFF"/>
    <w:lvl w:ilvl="0">
      <w:start w:val="2"/>
      <w:numFmt w:val="decimal"/>
      <w:lvlText w:val="%1"/>
      <w:lvlJc w:val="left"/>
      <w:pPr>
        <w:ind w:left="820" w:hanging="480"/>
        <w:jc w:val="left"/>
      </w:pPr>
      <w:rPr>
        <w:rFonts w:hint="default"/>
        <w:lang w:val="en-US" w:bidi="ar-SA" w:eastAsia="en-US"/>
      </w:rPr>
    </w:lvl>
    <w:lvl w:ilvl="1">
      <w:start w:val="17"/>
      <w:numFmt w:val="decimal"/>
      <w:lvlText w:val="%1.%2"/>
      <w:lvlJc w:val="left"/>
      <w:pPr>
        <w:ind w:left="820" w:hanging="480"/>
        <w:jc w:val="left"/>
      </w:pPr>
      <w:rPr>
        <w:rFonts w:hint="default"/>
        <w:b/>
        <w:bCs/>
        <w:w w:val="100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736" w:hanging="48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194" w:hanging="48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652" w:hanging="48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3110" w:hanging="48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3568" w:hanging="48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4026" w:hanging="48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4484" w:hanging="480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FFFFFFFF"/>
    <w:lvl w:ilvl="0">
      <w:start w:val="2"/>
      <w:numFmt w:val="decimal"/>
      <w:lvlText w:val="%1"/>
      <w:lvlJc w:val="left"/>
      <w:pPr>
        <w:ind w:left="1192" w:hanging="569"/>
        <w:jc w:val="left"/>
      </w:pPr>
      <w:rPr>
        <w:rFonts w:hint="default"/>
        <w:lang w:val="en-US" w:bidi="ar-SA" w:eastAsia="en-US"/>
      </w:rPr>
    </w:lvl>
    <w:lvl w:ilvl="1">
      <w:start w:val="14"/>
      <w:numFmt w:val="decimal"/>
      <w:lvlText w:val="%1.%2"/>
      <w:lvlJc w:val="left"/>
      <w:pPr>
        <w:ind w:left="1192" w:hanging="569"/>
        <w:jc w:val="right"/>
      </w:pPr>
      <w:rPr>
        <w:rFonts w:ascii="Times New Roman" w:cs="Times New Roman" w:eastAsia="Times New Roman" w:hAnsi="Times New Roman" w:hint="default"/>
        <w:b/>
        <w:bCs/>
        <w:w w:val="100"/>
        <w:sz w:val="24"/>
        <w:szCs w:val="24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139" w:hanging="569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609" w:hanging="569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078" w:hanging="569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3548" w:hanging="569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4018" w:hanging="569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4488" w:hanging="569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4957" w:hanging="56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FFFFFFFF"/>
    <w:lvl w:ilvl="0">
      <w:start w:val="2"/>
      <w:numFmt w:val="decimal"/>
      <w:lvlText w:val="%1"/>
      <w:lvlJc w:val="left"/>
      <w:pPr>
        <w:ind w:left="1353" w:hanging="492"/>
        <w:jc w:val="left"/>
      </w:pPr>
      <w:rPr>
        <w:rFonts w:hint="default"/>
        <w:lang w:val="en-US" w:bidi="ar-SA" w:eastAsia="en-US"/>
      </w:rPr>
    </w:lvl>
    <w:lvl w:ilvl="1">
      <w:start w:val="11"/>
      <w:numFmt w:val="decimal"/>
      <w:lvlText w:val="%1.%2"/>
      <w:lvlJc w:val="left"/>
      <w:pPr>
        <w:ind w:left="1353" w:hanging="492"/>
        <w:jc w:val="right"/>
      </w:pPr>
      <w:rPr>
        <w:rFonts w:ascii="Times New Roman" w:cs="Times New Roman" w:eastAsia="Times New Roman" w:hAnsi="Times New Roman" w:hint="default"/>
        <w:b/>
        <w:bCs/>
        <w:w w:val="100"/>
        <w:sz w:val="24"/>
        <w:szCs w:val="24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299" w:hanging="492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769" w:hanging="492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239" w:hanging="492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3709" w:hanging="492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4179" w:hanging="492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4649" w:hanging="492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5119" w:hanging="492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FFFFFFFF"/>
    <w:lvl w:ilvl="0">
      <w:start w:val="1"/>
      <w:numFmt w:val="decimal"/>
      <w:lvlText w:val="%1"/>
      <w:lvlJc w:val="left"/>
      <w:pPr>
        <w:ind w:left="700" w:hanging="360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700" w:hanging="360"/>
        <w:jc w:val="left"/>
      </w:pPr>
      <w:rPr>
        <w:rFonts w:ascii="Times New Roman" w:cs="Times New Roman" w:eastAsia="Times New Roman" w:hAnsi="Times New Roman" w:hint="default"/>
        <w:b/>
        <w:bCs/>
        <w:w w:val="100"/>
        <w:sz w:val="24"/>
        <w:szCs w:val="24"/>
        <w:lang w:val="en-US" w:bidi="ar-SA" w:eastAsia="en-US"/>
      </w:rPr>
    </w:lvl>
    <w:lvl w:ilvl="2">
      <w:start w:val="0"/>
      <w:numFmt w:val="bullet"/>
      <w:lvlText w:val=""/>
      <w:lvlJc w:val="left"/>
      <w:pPr>
        <w:ind w:left="1060" w:hanging="361"/>
      </w:pPr>
      <w:rPr>
        <w:rFonts w:ascii="Symbol" w:cs="Symbol" w:eastAsia="Symbol" w:hAnsi="Symbol" w:hint="default"/>
        <w:w w:val="100"/>
        <w:sz w:val="24"/>
        <w:szCs w:val="24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023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505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2987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3468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3950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4432" w:hanging="361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FFFFFFFF"/>
    <w:lvl w:ilvl="0">
      <w:start w:val="1"/>
      <w:numFmt w:val="decimal"/>
      <w:lvlText w:val="%1."/>
      <w:lvlJc w:val="left"/>
      <w:pPr>
        <w:ind w:left="1079" w:hanging="360"/>
        <w:jc w:val="right"/>
      </w:pPr>
      <w:rPr>
        <w:rFonts w:ascii="Times New Roman" w:cs="Times New Roman" w:eastAsia="Times New Roman" w:hAnsi="Times New Roman" w:hint="default"/>
        <w:b/>
        <w:bCs/>
        <w:w w:val="100"/>
        <w:sz w:val="24"/>
        <w:szCs w:val="24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700" w:hanging="360"/>
        <w:jc w:val="right"/>
      </w:pPr>
      <w:rPr>
        <w:rFonts w:ascii="Times New Roman" w:cs="Times New Roman" w:eastAsia="Times New Roman" w:hAnsi="Times New Roman" w:hint="default"/>
        <w:b/>
        <w:bCs/>
        <w:w w:val="100"/>
        <w:sz w:val="24"/>
        <w:szCs w:val="24"/>
        <w:lang w:val="en-US" w:bidi="ar-SA" w:eastAsia="en-US"/>
      </w:rPr>
    </w:lvl>
    <w:lvl w:ilvl="2">
      <w:start w:val="0"/>
      <w:numFmt w:val="bullet"/>
      <w:lvlText w:val="•"/>
      <w:lvlJc w:val="left"/>
      <w:pPr>
        <w:ind w:left="1080" w:hanging="36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929" w:hanging="36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778" w:hanging="36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627" w:hanging="36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477" w:hanging="36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326" w:hanging="36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175" w:hanging="360"/>
      </w:pPr>
      <w:rPr>
        <w:rFonts w:hint="default"/>
        <w:lang w:val="en-US" w:bidi="ar-SA" w:eastAsia="en-US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paragraph" w:customStyle="1" w:styleId="style4098">
    <w:name w:val="Heading 1"/>
    <w:basedOn w:val="style0"/>
    <w:next w:val="style4098"/>
    <w:qFormat/>
    <w:uiPriority w:val="1"/>
    <w:pPr>
      <w:ind w:left="820" w:hanging="428"/>
      <w:outlineLvl w:val="1"/>
    </w:pPr>
    <w:rPr>
      <w:rFonts w:ascii="Times New Roman" w:cs="Times New Roman" w:eastAsia="Times New Roman" w:hAnsi="Times New Roman"/>
      <w:b/>
      <w:bCs/>
      <w:sz w:val="24"/>
      <w:szCs w:val="24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ind w:left="820" w:hanging="361"/>
    </w:pPr>
    <w:rPr>
      <w:rFonts w:ascii="Times New Roman" w:cs="Times New Roman" w:eastAsia="Times New Roman" w:hAnsi="Times New Roman"/>
      <w:lang w:val="en-US" w:bidi="ar-SA" w:eastAsia="en-US"/>
    </w:rPr>
  </w:style>
  <w:style w:type="paragraph" w:customStyle="1" w:styleId="style4099">
    <w:name w:val="Table Paragraph"/>
    <w:basedOn w:val="style0"/>
    <w:next w:val="style4099"/>
    <w:qFormat/>
    <w:uiPriority w:val="1"/>
    <w:pPr/>
    <w:rPr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3044</Words>
  <Characters>18210</Characters>
  <Application>WPS Office</Application>
  <DocSecurity>0</DocSecurity>
  <Paragraphs>262</Paragraphs>
  <ScaleCrop>false</ScaleCrop>
  <LinksUpToDate>false</LinksUpToDate>
  <CharactersWithSpaces>21196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2023-05-10T15:32:03Z</dcterms:created>
  <dc:creator>lalit</dc:creator>
  <lastModifiedBy>Redmi 6 Pro</lastModifiedBy>
  <dcterms:modified xsi:type="dcterms:W3CDTF">2023-05-10T15:32:03Z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2023-05-10T00:00:00Z</vt:filetime>
  </property>
  <property fmtid="{D5CDD505-2E9C-101B-9397-08002B2CF9AE}" pid="5" name="ICV">
    <vt:lpwstr>f83ebacaed8845909b9d5f4ae5cdd884</vt:lpwstr>
  </property>
</Properties>
</file>