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E26" w:rsidRPr="00E409A5" w:rsidRDefault="00E409A5" w:rsidP="00F12E26">
      <w:pPr>
        <w:spacing w:after="80" w:line="240" w:lineRule="auto"/>
        <w:jc w:val="both"/>
        <w:rPr>
          <w:rFonts w:ascii="Cambria" w:hAnsi="Cambria"/>
          <w:b/>
          <w:bCs/>
          <w:sz w:val="48"/>
          <w:szCs w:val="48"/>
        </w:rPr>
      </w:pPr>
      <w:r w:rsidRPr="00E409A5">
        <w:rPr>
          <w:rFonts w:ascii="Cambria" w:hAnsi="Cambria"/>
          <w:b/>
          <w:bCs/>
          <w:sz w:val="48"/>
          <w:szCs w:val="48"/>
        </w:rPr>
        <w:t>Building</w:t>
      </w:r>
      <w:r w:rsidR="001B19F7">
        <w:rPr>
          <w:rFonts w:ascii="Cambria" w:hAnsi="Cambria"/>
          <w:b/>
          <w:bCs/>
          <w:sz w:val="48"/>
          <w:szCs w:val="48"/>
        </w:rPr>
        <w:t xml:space="preserve"> </w:t>
      </w:r>
      <w:r w:rsidRPr="00E409A5">
        <w:rPr>
          <w:rFonts w:ascii="Cambria" w:hAnsi="Cambria"/>
          <w:b/>
          <w:bCs/>
          <w:sz w:val="48"/>
          <w:szCs w:val="48"/>
        </w:rPr>
        <w:t>Stronger Bones: Understanding Osteoporosis and Preventive Measures"</w:t>
      </w:r>
    </w:p>
    <w:p w:rsidR="00F12E26" w:rsidRDefault="00F12E26" w:rsidP="00F12E26">
      <w:pPr>
        <w:spacing w:after="80" w:line="240" w:lineRule="auto"/>
        <w:jc w:val="both"/>
        <w:rPr>
          <w:b/>
          <w:bCs/>
          <w:sz w:val="32"/>
          <w:szCs w:val="32"/>
          <w:u w:val="single"/>
        </w:rPr>
      </w:pPr>
    </w:p>
    <w:p w:rsidR="00F12E26" w:rsidRPr="00E409A5" w:rsidRDefault="00E409A5" w:rsidP="00E409A5">
      <w:pPr>
        <w:spacing w:after="80" w:line="240" w:lineRule="auto"/>
        <w:jc w:val="both"/>
        <w:rPr>
          <w:b/>
          <w:bCs/>
          <w:sz w:val="28"/>
          <w:szCs w:val="28"/>
          <w:u w:val="single"/>
        </w:rPr>
      </w:pPr>
      <w:r w:rsidRPr="00E409A5">
        <w:rPr>
          <w:rFonts w:ascii="Bodoni MT" w:hAnsi="Bodoni MT"/>
          <w:i/>
          <w:iCs/>
          <w:sz w:val="28"/>
          <w:szCs w:val="28"/>
          <w:u w:val="single"/>
        </w:rPr>
        <w:t>Laiba Fakhar</w:t>
      </w:r>
      <w:r w:rsidRPr="00E409A5">
        <w:rPr>
          <w:rFonts w:ascii="Bodoni MT" w:hAnsi="Bodoni MT"/>
          <w:i/>
          <w:iCs/>
          <w:sz w:val="28"/>
          <w:szCs w:val="28"/>
          <w:u w:val="single"/>
          <w:vertAlign w:val="superscript"/>
        </w:rPr>
        <w:t>1</w:t>
      </w:r>
      <w:r w:rsidRPr="00E409A5">
        <w:rPr>
          <w:rFonts w:ascii="Bodoni MT" w:hAnsi="Bodoni MT"/>
          <w:i/>
          <w:iCs/>
          <w:sz w:val="28"/>
          <w:szCs w:val="28"/>
          <w:u w:val="single"/>
        </w:rPr>
        <w:t>,Momna Tariq</w:t>
      </w:r>
      <w:r w:rsidRPr="00E409A5">
        <w:rPr>
          <w:rFonts w:ascii="Bodoni MT" w:hAnsi="Bodoni MT"/>
          <w:i/>
          <w:iCs/>
          <w:sz w:val="28"/>
          <w:szCs w:val="28"/>
          <w:u w:val="single"/>
          <w:vertAlign w:val="superscript"/>
        </w:rPr>
        <w:t>2</w:t>
      </w:r>
      <w:r w:rsidRPr="00E409A5">
        <w:rPr>
          <w:rFonts w:ascii="Bodoni MT" w:hAnsi="Bodoni MT"/>
          <w:i/>
          <w:iCs/>
          <w:sz w:val="28"/>
          <w:szCs w:val="28"/>
          <w:u w:val="single"/>
        </w:rPr>
        <w:t xml:space="preserve"> ,</w:t>
      </w:r>
      <w:r w:rsidR="001B19F7" w:rsidRPr="00E409A5">
        <w:rPr>
          <w:rFonts w:ascii="Bodoni MT" w:hAnsi="Bodoni MT"/>
          <w:i/>
          <w:iCs/>
          <w:sz w:val="28"/>
          <w:szCs w:val="28"/>
          <w:u w:val="single"/>
        </w:rPr>
        <w:t>Pervez</w:t>
      </w:r>
      <w:r w:rsidRPr="00E409A5">
        <w:rPr>
          <w:rFonts w:ascii="Bodoni MT" w:hAnsi="Bodoni MT"/>
          <w:i/>
          <w:iCs/>
          <w:sz w:val="28"/>
          <w:szCs w:val="28"/>
          <w:u w:val="single"/>
        </w:rPr>
        <w:t> Anwa</w:t>
      </w:r>
      <w:r w:rsidRPr="00E409A5">
        <w:rPr>
          <w:rFonts w:ascii="Bodoni MT" w:hAnsi="Bodoni MT"/>
          <w:b/>
          <w:bCs/>
          <w:sz w:val="28"/>
          <w:szCs w:val="28"/>
          <w:u w:val="single"/>
        </w:rPr>
        <w:t>r</w:t>
      </w:r>
      <w:r w:rsidRPr="00E409A5">
        <w:rPr>
          <w:rFonts w:ascii="Bodoni MT" w:hAnsi="Bodoni MT"/>
          <w:b/>
          <w:bCs/>
          <w:sz w:val="28"/>
          <w:szCs w:val="28"/>
          <w:u w:val="single"/>
          <w:vertAlign w:val="superscript"/>
        </w:rPr>
        <w:t>3</w:t>
      </w:r>
      <w:r w:rsidRPr="00E409A5">
        <w:rPr>
          <w:rFonts w:ascii="Bodoni MT" w:hAnsi="Bodoni MT"/>
          <w:b/>
          <w:bCs/>
          <w:sz w:val="28"/>
          <w:szCs w:val="28"/>
          <w:u w:val="single"/>
        </w:rPr>
        <w:t>.</w:t>
      </w:r>
    </w:p>
    <w:p w:rsidR="00E409A5" w:rsidRDefault="00E409A5" w:rsidP="00E409A5">
      <w:pPr>
        <w:spacing w:after="80" w:line="240" w:lineRule="auto"/>
        <w:jc w:val="both"/>
        <w:rPr>
          <w:b/>
          <w:bCs/>
          <w:sz w:val="32"/>
          <w:szCs w:val="32"/>
          <w:u w:val="single"/>
        </w:rPr>
      </w:pPr>
    </w:p>
    <w:p w:rsidR="00E409A5" w:rsidRPr="00B24607" w:rsidRDefault="00E409A5" w:rsidP="00E409A5">
      <w:pPr>
        <w:spacing w:after="80" w:line="240" w:lineRule="auto"/>
        <w:jc w:val="both"/>
        <w:rPr>
          <w:rFonts w:ascii="Gadugi" w:hAnsi="Gadugi"/>
          <w:i/>
          <w:iCs/>
        </w:rPr>
      </w:pPr>
      <w:r w:rsidRPr="00B24607">
        <w:rPr>
          <w:rFonts w:ascii="Gadugi" w:hAnsi="Gadugi"/>
          <w:i/>
          <w:iCs/>
          <w:vertAlign w:val="superscript"/>
        </w:rPr>
        <w:t>1</w:t>
      </w:r>
      <w:r w:rsidRPr="00B24607">
        <w:rPr>
          <w:rFonts w:ascii="Gadugi" w:hAnsi="Gadugi"/>
          <w:i/>
          <w:iCs/>
        </w:rPr>
        <w:t xml:space="preserve">Department of Biotechnology, University of Sialkot, Sialkot, Punjab, Pakistan </w:t>
      </w:r>
    </w:p>
    <w:p w:rsidR="00E409A5" w:rsidRPr="00B24607" w:rsidRDefault="00E409A5" w:rsidP="00E409A5">
      <w:pPr>
        <w:spacing w:after="80" w:line="240" w:lineRule="auto"/>
        <w:jc w:val="both"/>
        <w:rPr>
          <w:rFonts w:ascii="Gadugi" w:hAnsi="Gadugi"/>
          <w:i/>
          <w:iCs/>
        </w:rPr>
      </w:pPr>
      <w:r w:rsidRPr="00B24607">
        <w:rPr>
          <w:rFonts w:ascii="Gadugi" w:hAnsi="Gadugi"/>
          <w:i/>
          <w:iCs/>
          <w:vertAlign w:val="superscript"/>
        </w:rPr>
        <w:t>2</w:t>
      </w:r>
      <w:r w:rsidRPr="00B24607">
        <w:rPr>
          <w:rFonts w:ascii="Gadugi" w:hAnsi="Gadugi"/>
          <w:i/>
          <w:iCs/>
        </w:rPr>
        <w:t xml:space="preserve">Department of Biotechnology, University of Sialkot, Sialkot, Punjab, Pakistan </w:t>
      </w:r>
    </w:p>
    <w:p w:rsidR="00E409A5" w:rsidRPr="00B24607" w:rsidRDefault="00E409A5" w:rsidP="00E409A5">
      <w:pPr>
        <w:spacing w:after="80" w:line="240" w:lineRule="auto"/>
        <w:jc w:val="both"/>
        <w:rPr>
          <w:rFonts w:ascii="Gadugi" w:hAnsi="Gadugi"/>
          <w:i/>
          <w:iCs/>
        </w:rPr>
      </w:pPr>
      <w:r w:rsidRPr="00B24607">
        <w:rPr>
          <w:rFonts w:ascii="Gadugi" w:hAnsi="Gadugi"/>
          <w:i/>
          <w:iCs/>
          <w:vertAlign w:val="superscript"/>
        </w:rPr>
        <w:t>3</w:t>
      </w:r>
      <w:r w:rsidRPr="00B24607">
        <w:rPr>
          <w:rFonts w:ascii="Gadugi" w:hAnsi="Gadugi"/>
          <w:i/>
          <w:iCs/>
        </w:rPr>
        <w:t>Department of Biochemistry and Molecular Biology, University of Sialkot, Sialkot, Punjab, Pakistan</w:t>
      </w:r>
    </w:p>
    <w:p w:rsidR="00B24607" w:rsidRDefault="00B24607" w:rsidP="00E409A5">
      <w:pPr>
        <w:spacing w:after="80" w:line="240" w:lineRule="auto"/>
        <w:jc w:val="both"/>
        <w:rPr>
          <w:rFonts w:ascii="Gadugi" w:hAnsi="Gadugi"/>
          <w:i/>
          <w:iCs/>
        </w:rPr>
      </w:pPr>
    </w:p>
    <w:p w:rsidR="00B24607" w:rsidRPr="00B24607" w:rsidRDefault="00B24607" w:rsidP="00E409A5">
      <w:pPr>
        <w:spacing w:after="80" w:line="240" w:lineRule="auto"/>
        <w:jc w:val="both"/>
        <w:rPr>
          <w:rFonts w:ascii="Gadugi" w:hAnsi="Gadugi"/>
          <w:i/>
          <w:iCs/>
        </w:rPr>
      </w:pPr>
      <w:r>
        <w:rPr>
          <w:rFonts w:ascii="Gadugi" w:hAnsi="Gadugi"/>
          <w:i/>
          <w:iCs/>
        </w:rPr>
        <w:t xml:space="preserve">Address of correspondence : </w:t>
      </w:r>
    </w:p>
    <w:p w:rsidR="00E409A5" w:rsidRPr="00B24607" w:rsidRDefault="00E409A5" w:rsidP="00E409A5">
      <w:pPr>
        <w:spacing w:after="80" w:line="240" w:lineRule="auto"/>
        <w:jc w:val="both"/>
        <w:rPr>
          <w:rFonts w:asciiTheme="minorBidi" w:hAnsiTheme="minorBidi" w:cstheme="minorBidi"/>
          <w:b/>
          <w:bCs/>
          <w:i/>
          <w:iCs/>
          <w:sz w:val="32"/>
          <w:szCs w:val="32"/>
          <w:u w:val="single"/>
        </w:rPr>
      </w:pPr>
      <w:r w:rsidRPr="00B24607">
        <w:rPr>
          <w:rFonts w:asciiTheme="minorBidi" w:hAnsiTheme="minorBidi" w:cstheme="minorBidi"/>
          <w:i/>
          <w:iCs/>
        </w:rPr>
        <w:t>Email of correspondence : laibausman155@gmail.com</w:t>
      </w:r>
    </w:p>
    <w:p w:rsidR="00F12E26" w:rsidRDefault="00F12E26" w:rsidP="00F12E26">
      <w:pPr>
        <w:spacing w:after="80" w:line="240" w:lineRule="auto"/>
        <w:jc w:val="both"/>
        <w:rPr>
          <w:b/>
          <w:bCs/>
          <w:sz w:val="32"/>
          <w:szCs w:val="32"/>
          <w:u w:val="single"/>
        </w:rPr>
      </w:pPr>
    </w:p>
    <w:p w:rsidR="00F12E26" w:rsidRDefault="00B24607" w:rsidP="00F12E26">
      <w:pPr>
        <w:spacing w:after="80" w:line="240" w:lineRule="auto"/>
        <w:jc w:val="both"/>
        <w:rPr>
          <w:b/>
          <w:bCs/>
          <w:sz w:val="32"/>
          <w:szCs w:val="32"/>
          <w:u w:val="single"/>
        </w:rPr>
      </w:pPr>
      <w:r>
        <w:rPr>
          <w:b/>
          <w:bCs/>
          <w:noProof/>
          <w:sz w:val="32"/>
          <w:szCs w:val="32"/>
          <w:u w:val="single"/>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25399</wp:posOffset>
                </wp:positionH>
                <wp:positionV relativeFrom="paragraph">
                  <wp:posOffset>88829</wp:posOffset>
                </wp:positionV>
                <wp:extent cx="6366933"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6366933"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7pt" to="503.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" strokecolor="black [3213]" strokeweight="1.5pt"/>
            </w:pict>
          </mc:Fallback>
        </mc:AlternateContent>
      </w:r>
    </w:p>
    <w:p w:rsidR="00F12E26" w:rsidRDefault="00F12E26" w:rsidP="00F12E26">
      <w:pPr>
        <w:spacing w:after="80" w:line="240" w:lineRule="auto"/>
        <w:jc w:val="both"/>
        <w:rPr>
          <w:b/>
          <w:bCs/>
          <w:sz w:val="32"/>
          <w:szCs w:val="32"/>
          <w:u w:val="single"/>
        </w:rPr>
        <w:sectPr w:rsidR="00F12E26" w:rsidSect="002734C2">
          <w:pgSz w:w="12240" w:h="15840"/>
          <w:pgMar w:top="1440" w:right="1080" w:bottom="1440" w:left="1080" w:header="720" w:footer="720" w:gutter="0"/>
          <w:cols w:space="720"/>
          <w:docGrid w:linePitch="360"/>
        </w:sectPr>
      </w:pPr>
    </w:p>
    <w:p w:rsidR="00F12E26" w:rsidRDefault="00F12E26" w:rsidP="00F12E26">
      <w:pPr>
        <w:spacing w:after="80" w:line="240" w:lineRule="auto"/>
        <w:jc w:val="both"/>
        <w:rPr>
          <w:b/>
          <w:bCs/>
          <w:sz w:val="32"/>
          <w:szCs w:val="32"/>
          <w:u w:val="single"/>
        </w:rPr>
      </w:pPr>
      <w:r>
        <w:rPr>
          <w:b/>
          <w:bCs/>
          <w:noProof/>
          <w:sz w:val="32"/>
          <w:szCs w:val="32"/>
          <w:u w:val="single"/>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1221881</wp:posOffset>
                </wp:positionH>
                <wp:positionV relativeFrom="paragraph">
                  <wp:posOffset>24342</wp:posOffset>
                </wp:positionV>
                <wp:extent cx="0" cy="3138311"/>
                <wp:effectExtent l="0" t="0" r="19050" b="24130"/>
                <wp:wrapNone/>
                <wp:docPr id="2" name="Straight Connector 2"/>
                <wp:cNvGraphicFramePr/>
                <a:graphic xmlns:a="http://schemas.openxmlformats.org/drawingml/2006/main">
                  <a:graphicData uri="http://schemas.microsoft.com/office/word/2010/wordprocessingShape">
                    <wps:wsp>
                      <wps:cNvCnPr/>
                      <wps:spPr>
                        <a:xfrm>
                          <a:off x="0" y="0"/>
                          <a:ext cx="0" cy="31383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2pt,1.9pt" to="96.2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" strokecolor="black [3040]"/>
            </w:pict>
          </mc:Fallback>
        </mc:AlternateContent>
      </w:r>
      <w:r w:rsidRPr="002734C2">
        <w:rPr>
          <w:b/>
          <w:bCs/>
          <w:sz w:val="32"/>
          <w:szCs w:val="32"/>
          <w:u w:val="single"/>
        </w:rPr>
        <w:t>Keywords</w:t>
      </w:r>
    </w:p>
    <w:p w:rsidR="00F12E26" w:rsidRPr="002734C2" w:rsidRDefault="00F12E26" w:rsidP="00F12E26">
      <w:pPr>
        <w:spacing w:after="80" w:line="240" w:lineRule="auto"/>
        <w:jc w:val="both"/>
        <w:rPr>
          <w:b/>
          <w:bCs/>
          <w:sz w:val="32"/>
          <w:szCs w:val="32"/>
          <w:u w:val="single"/>
        </w:rPr>
      </w:pPr>
    </w:p>
    <w:p w:rsidR="00F12E26" w:rsidRDefault="00F12E26" w:rsidP="00F12E26">
      <w:pPr>
        <w:spacing w:after="80" w:line="720" w:lineRule="auto"/>
      </w:pPr>
      <w:r>
        <w:t>Osteoporosis</w:t>
      </w:r>
    </w:p>
    <w:p w:rsidR="00F12E26" w:rsidRDefault="00F12E26" w:rsidP="00F12E26">
      <w:pPr>
        <w:spacing w:after="80" w:line="720" w:lineRule="auto"/>
      </w:pPr>
      <w:r>
        <w:t>Postmenopausal</w:t>
      </w:r>
    </w:p>
    <w:p w:rsidR="00F12E26" w:rsidRDefault="00B24607" w:rsidP="00F12E26">
      <w:pPr>
        <w:spacing w:after="80" w:line="720" w:lineRule="auto"/>
      </w:pPr>
      <w:r>
        <w:t>Facture</w:t>
      </w:r>
    </w:p>
    <w:p w:rsidR="00F12E26" w:rsidRDefault="00B24607" w:rsidP="00F12E26">
      <w:pPr>
        <w:spacing w:after="80" w:line="720" w:lineRule="auto"/>
      </w:pPr>
      <w:r>
        <w:t>D</w:t>
      </w:r>
      <w:r w:rsidR="00F12E26">
        <w:t>enosumab</w:t>
      </w:r>
    </w:p>
    <w:p w:rsidR="00F12E26" w:rsidRPr="002912A1" w:rsidRDefault="00F12E26" w:rsidP="00F12E26">
      <w:pPr>
        <w:spacing w:after="80" w:line="720" w:lineRule="auto"/>
      </w:pPr>
      <w:r>
        <w:t>Diphosphonates</w:t>
      </w:r>
    </w:p>
    <w:p w:rsidR="005946F7" w:rsidRPr="008D4D3B" w:rsidRDefault="005946F7" w:rsidP="005946F7">
      <w:pPr>
        <w:rPr>
          <w:b/>
          <w:bCs/>
          <w:sz w:val="40"/>
          <w:szCs w:val="40"/>
          <w:u w:val="single"/>
        </w:rPr>
      </w:pPr>
      <w:r w:rsidRPr="008D4D3B">
        <w:rPr>
          <w:b/>
          <w:bCs/>
          <w:sz w:val="40"/>
          <w:szCs w:val="40"/>
          <w:u w:val="single"/>
        </w:rPr>
        <w:t xml:space="preserve">Abstract </w:t>
      </w:r>
    </w:p>
    <w:p w:rsidR="008C1F58" w:rsidRPr="008D4D3B" w:rsidRDefault="0030308F" w:rsidP="002734C2">
      <w:pPr>
        <w:spacing w:after="80" w:line="240" w:lineRule="auto"/>
        <w:jc w:val="both"/>
      </w:pPr>
      <w:r w:rsidRPr="008D4D3B">
        <w:t xml:space="preserve">Osteoporosis, a chronic condition that is incurable, is similar to heart disease, diabetes, or hypertension. Despite the availability of effective pharmacological interventions, there is a significant gap in primary fracture prevention, with studies showing that </w:t>
      </w:r>
      <w:r w:rsidR="00836410" w:rsidRPr="008D4D3B">
        <w:t xml:space="preserve">majority </w:t>
      </w:r>
      <w:r w:rsidRPr="008D4D3B">
        <w:t xml:space="preserve">of adults do not receive appropriate osteoporosis management </w:t>
      </w:r>
      <w:r w:rsidR="00284E77" w:rsidRPr="008D4D3B">
        <w:t>.Osteoporosis</w:t>
      </w:r>
      <w:r w:rsidR="008C1F58" w:rsidRPr="008D4D3B">
        <w:t xml:space="preserve"> is a prevalent skeletal disorder characterized by decreased bone density and increased susceptibility to fractures. This abstract provides an overview of the pathogenesis, risk factors, and treatment approaches for osteoporosis.The pathogenesis of osteoporosis involves an imbalance between bone resorption and bone formation. Age-related hormonal changes, particularly decreased estrogen levels in postmenopausal women, contribute to accelerated bone loss. Genetic factors also play a role, with certain gene variants associated with an increased risk of osteoporosis. Additionally, lifestyle factors such as inadequate calcium and vitamin D intake, sedentary behavior, smoking, and excessive alcohol consumption contribute to bone loss.</w:t>
      </w:r>
    </w:p>
    <w:p w:rsidR="00F12E26" w:rsidRDefault="00F12E26" w:rsidP="002734C2">
      <w:pPr>
        <w:spacing w:after="80" w:line="240" w:lineRule="auto"/>
        <w:rPr>
          <w:b/>
          <w:bCs/>
          <w:sz w:val="32"/>
          <w:szCs w:val="32"/>
        </w:rPr>
        <w:sectPr w:rsidR="00F12E26" w:rsidSect="00F12E26">
          <w:type w:val="continuous"/>
          <w:pgSz w:w="12240" w:h="15840"/>
          <w:pgMar w:top="1440" w:right="1080" w:bottom="1440" w:left="1080" w:header="720" w:footer="720" w:gutter="0"/>
          <w:cols w:num="2" w:space="720" w:equalWidth="0">
            <w:col w:w="2880" w:space="720"/>
            <w:col w:w="6480"/>
          </w:cols>
          <w:docGrid w:linePitch="360"/>
        </w:sectPr>
      </w:pPr>
    </w:p>
    <w:p w:rsidR="00B24607" w:rsidRDefault="00B24607" w:rsidP="00B24607">
      <w:pPr>
        <w:spacing w:after="80" w:line="240" w:lineRule="auto"/>
        <w:rPr>
          <w:b/>
          <w:bCs/>
          <w:sz w:val="32"/>
          <w:szCs w:val="32"/>
        </w:rPr>
      </w:pPr>
      <w:r>
        <w:rPr>
          <w:b/>
          <w:bCs/>
          <w:noProof/>
          <w:sz w:val="32"/>
          <w:szCs w:val="32"/>
          <w14:ligatures w14:val="standardContextual"/>
        </w:rPr>
        <mc:AlternateContent>
          <mc:Choice Requires="wps">
            <w:drawing>
              <wp:anchor distT="0" distB="0" distL="114300" distR="114300" simplePos="0" relativeHeight="251659264" behindDoc="0" locked="0" layoutInCell="1" allowOverlap="1" wp14:anchorId="6EA33238" wp14:editId="05CA8F00">
                <wp:simplePos x="0" y="0"/>
                <wp:positionH relativeFrom="column">
                  <wp:posOffset>-211455</wp:posOffset>
                </wp:positionH>
                <wp:positionV relativeFrom="paragraph">
                  <wp:posOffset>3810</wp:posOffset>
                </wp:positionV>
                <wp:extent cx="66827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6827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5pt,.3pt" to="509.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" strokecolor="black [3040]" strokeweight="1.5pt"/>
            </w:pict>
          </mc:Fallback>
        </mc:AlternateContent>
      </w:r>
    </w:p>
    <w:p w:rsidR="00541C21" w:rsidRPr="00B24607" w:rsidRDefault="003918CF" w:rsidP="00B24607">
      <w:pPr>
        <w:spacing w:after="80" w:line="240" w:lineRule="auto"/>
        <w:rPr>
          <w:b/>
          <w:bCs/>
          <w:sz w:val="32"/>
          <w:szCs w:val="32"/>
        </w:rPr>
      </w:pPr>
      <w:r w:rsidRPr="008D4D3B">
        <w:rPr>
          <w:b/>
          <w:bCs/>
          <w:sz w:val="32"/>
          <w:szCs w:val="32"/>
        </w:rPr>
        <w:t>Introduction</w:t>
      </w:r>
      <w:r w:rsidRPr="008D4D3B">
        <w:rPr>
          <w:sz w:val="32"/>
          <w:szCs w:val="32"/>
        </w:rPr>
        <w:t>:</w:t>
      </w:r>
    </w:p>
    <w:p w:rsidR="00B24607" w:rsidRDefault="00F67D2B" w:rsidP="00B24607">
      <w:pPr>
        <w:spacing w:after="80" w:line="240" w:lineRule="auto"/>
        <w:jc w:val="both"/>
      </w:pPr>
      <w:r>
        <w:t xml:space="preserve">Osteoporosis is a current cadaverous complaint characterized by low bone mass, deterioration of bone towel, and increased threat of fractures. It’s a </w:t>
      </w:r>
    </w:p>
    <w:p w:rsidR="00B24607" w:rsidRDefault="00B24607" w:rsidP="00B24607">
      <w:pPr>
        <w:spacing w:after="80" w:line="240" w:lineRule="auto"/>
        <w:jc w:val="both"/>
      </w:pPr>
    </w:p>
    <w:p w:rsidR="00B24607" w:rsidRDefault="00B24607" w:rsidP="00B24607">
      <w:pPr>
        <w:spacing w:after="80" w:line="240" w:lineRule="auto"/>
        <w:jc w:val="both"/>
      </w:pPr>
    </w:p>
    <w:p w:rsidR="00F12E26" w:rsidRDefault="00F67D2B" w:rsidP="00B24607">
      <w:pPr>
        <w:spacing w:after="80" w:line="240" w:lineRule="auto"/>
        <w:jc w:val="both"/>
      </w:pPr>
      <w:r>
        <w:t xml:space="preserve">significant public health concern, particularly among the growing population, and is associated with considerable morbidity, mortality, and healthcare costs. This  Paper provides a comprehensive </w:t>
      </w:r>
      <w:r>
        <w:lastRenderedPageBreak/>
        <w:t xml:space="preserve">overview of osteoporosis, including its etiology, pathophysiology, clinical instantiations, individual approaches, and operation strategies.  Multiple factors contribute to the development of osteoporosis. The primary cause is an imbalance between bone conformation and bone resorption, </w:t>
      </w:r>
    </w:p>
    <w:p w:rsidR="00F12E26" w:rsidRDefault="00F12E26" w:rsidP="002734C2">
      <w:pPr>
        <w:spacing w:after="80" w:line="240" w:lineRule="auto"/>
        <w:jc w:val="both"/>
      </w:pPr>
    </w:p>
    <w:p w:rsidR="00F67D2B" w:rsidRDefault="00F67D2B" w:rsidP="002734C2">
      <w:pPr>
        <w:spacing w:after="80" w:line="240" w:lineRule="auto"/>
        <w:jc w:val="both"/>
      </w:pPr>
      <w:r>
        <w:t xml:space="preserve">leading to a gradational loss of bone mass. Hormonal factors, Similar as estrogen insufficiency in postmenopausal women and testosterone insufficiency in men, play a pivotal part in bone redoing. Other threat factors include advanced age, family history, low calcium and Vitamin D input, sedentary life, smoking, inordinate alcohol consumption, and certain specifics (e.g., glucocorticoids).  Bone is a dynamic towel constantly witnessing redoing, with osteoblasts responsible for bone conformation and osteoclasts for bone resorption. In osteoporosis, there’s an increased rate of bone resorption relative to bone conformation, performing in a net loss of bone mass. This imbalance disrupts the microarchitecture of the bone, making it fragile and prone to fractures. The trabecular bone, set up in the ago and hips, is primarily affected in osteoporosis, although cortical bone may also be involved. Osteoporosis is frequently a silent complaint until a </w:t>
      </w:r>
      <w:r>
        <w:t xml:space="preserve">fracture occurs, and fractures related to osteoporosis </w:t>
      </w:r>
      <w:r w:rsidR="00540BAA">
        <w:t>ge</w:t>
      </w:r>
      <w:r>
        <w:t xml:space="preserve">nerally do in the chine, hipsterism, and wrist. Vertebral fractures can lead to habitual reverse pain, spinal Scars, and loss of height. Hipsterism fractures are especially severe, with increased morbidity, mortality, </w:t>
      </w:r>
      <w:r w:rsidR="00540BAA">
        <w:t>an</w:t>
      </w:r>
      <w:r>
        <w:t xml:space="preserve">d loss of independence. Other symptoms include reduced bone viscosity on imaging studies and a </w:t>
      </w:r>
      <w:r w:rsidR="00540BAA">
        <w:t>ten</w:t>
      </w:r>
      <w:r>
        <w:t>ndency to fracture with minimum trauma. Managing osteoporosis involves bothnon-pharmacological  And pharmacological intervention .</w:t>
      </w:r>
    </w:p>
    <w:p w:rsidR="00C736CF" w:rsidRDefault="00E013A2" w:rsidP="002734C2">
      <w:pPr>
        <w:spacing w:after="80" w:line="240" w:lineRule="auto"/>
        <w:jc w:val="both"/>
      </w:pPr>
      <w:r>
        <w:t xml:space="preserve">Non-pharmacological approaches include lifestyle modifications </w:t>
      </w:r>
      <w:r w:rsidR="006662F5">
        <w:t>suc</w:t>
      </w:r>
      <w:r>
        <w:t xml:space="preserve">h as regular weight-bearing exercises, optimizing calcium and vitamin D intake, smoking </w:t>
      </w:r>
      <w:r w:rsidR="006662F5">
        <w:t>cessation, and</w:t>
      </w:r>
      <w:r>
        <w:t xml:space="preserve"> reducing alcohol consumption. Pharmacological options include bisphosphonates, selective </w:t>
      </w:r>
      <w:r w:rsidR="006662F5">
        <w:t>est</w:t>
      </w:r>
      <w:r>
        <w:t xml:space="preserve">rogen receptor modulators (SERMs), denosumab, and parathyroid hormone analogs. Treatment </w:t>
      </w:r>
      <w:r w:rsidR="006662F5">
        <w:t>d</w:t>
      </w:r>
      <w:r>
        <w:t xml:space="preserve">ecisions are based on fracture risk assessment, individual characteristics, and potential side effects. Patients who have bone density with one fracture have a risk for another fracture. Orthopedic surgeons will have </w:t>
      </w:r>
      <w:r w:rsidR="006662F5">
        <w:t>a</w:t>
      </w:r>
      <w:r>
        <w:t>n increasing role in the diagnosis of osteoporosis, treatment of fractures in patients with osteoporosis, And in at least some cases, treatment of osteoporosis.</w:t>
      </w:r>
    </w:p>
    <w:p w:rsidR="00F12E26" w:rsidRDefault="00F12E26">
      <w:pPr>
        <w:rPr>
          <w:b/>
          <w:bCs/>
        </w:rPr>
        <w:sectPr w:rsidR="00F12E26" w:rsidSect="00F12E26">
          <w:type w:val="continuous"/>
          <w:pgSz w:w="12240" w:h="15840"/>
          <w:pgMar w:top="1440" w:right="1080" w:bottom="1440" w:left="1080" w:header="720" w:footer="720" w:gutter="0"/>
          <w:cols w:num="2" w:space="720"/>
          <w:docGrid w:linePitch="360"/>
        </w:sectPr>
      </w:pPr>
    </w:p>
    <w:p w:rsidR="002734C2" w:rsidRDefault="002734C2">
      <w:pPr>
        <w:rPr>
          <w:b/>
          <w:bCs/>
        </w:rPr>
      </w:pPr>
    </w:p>
    <w:p w:rsidR="002734C2" w:rsidRDefault="002734C2">
      <w:pPr>
        <w:rPr>
          <w:b/>
          <w:bCs/>
        </w:rPr>
        <w:sectPr w:rsidR="002734C2" w:rsidSect="00F12E26">
          <w:type w:val="continuous"/>
          <w:pgSz w:w="12240" w:h="15840"/>
          <w:pgMar w:top="1440" w:right="1080" w:bottom="1440" w:left="1080" w:header="720" w:footer="720" w:gutter="0"/>
          <w:cols w:space="720"/>
          <w:docGrid w:linePitch="360"/>
        </w:sectPr>
      </w:pPr>
    </w:p>
    <w:p w:rsidR="004D0E2A" w:rsidRPr="00F4132C" w:rsidRDefault="003918CF" w:rsidP="004D0E2A">
      <w:pPr>
        <w:jc w:val="both"/>
        <w:rPr>
          <w:b/>
          <w:bCs/>
          <w:sz w:val="28"/>
          <w:szCs w:val="28"/>
        </w:rPr>
      </w:pPr>
      <w:r w:rsidRPr="00F4132C">
        <w:rPr>
          <w:b/>
          <w:bCs/>
          <w:sz w:val="28"/>
          <w:szCs w:val="28"/>
        </w:rPr>
        <w:t>Mechanism of osteoporosis:</w:t>
      </w:r>
    </w:p>
    <w:p w:rsidR="00FA7487" w:rsidRPr="004F4A65" w:rsidRDefault="00B62A19" w:rsidP="008D4D3B">
      <w:pPr>
        <w:jc w:val="both"/>
      </w:pPr>
      <w:r w:rsidRPr="00B62A19">
        <w:t>Osteoporosis is a habitual bone complaint that’s characterized by low bone mass and structural</w:t>
      </w:r>
      <w:r w:rsidR="004F4A65">
        <w:t xml:space="preserve"> de</w:t>
      </w:r>
      <w:r w:rsidRPr="00B62A19">
        <w:t xml:space="preserve">terioration of bone towel, leading to increased bone fragility and an increased threat of fractures. The </w:t>
      </w:r>
      <w:r w:rsidR="004F4A65">
        <w:t>beginning</w:t>
      </w:r>
      <w:r w:rsidRPr="00B62A19">
        <w:t xml:space="preserve"> medium of osteoporosis involves an imbalance between bone conformation and bone </w:t>
      </w:r>
      <w:r w:rsidR="004F4A65">
        <w:t>r</w:t>
      </w:r>
      <w:r w:rsidRPr="00B62A19">
        <w:t xml:space="preserve">esorption, performing in a net loss of bone mass. This bone complaint happens when the process of bone </w:t>
      </w:r>
      <w:r w:rsidR="004F4A65">
        <w:t>r</w:t>
      </w:r>
      <w:r w:rsidRPr="00B62A19">
        <w:t xml:space="preserve">esorption occurs faster than bone conformation( the creation of new bone towel). There are numerous factors </w:t>
      </w:r>
      <w:r w:rsidR="004F4A65">
        <w:t>t</w:t>
      </w:r>
      <w:r w:rsidRPr="00B62A19">
        <w:t xml:space="preserve">hat can contribute to osteoporosis, including normal bone redoing, hormonal factors, age- related </w:t>
      </w:r>
      <w:r w:rsidR="004F4A65">
        <w:t>b</w:t>
      </w:r>
      <w:r w:rsidRPr="00B62A19">
        <w:t xml:space="preserve">one loss, and calcium and vitamin D insufficiency. Hormones similar as estrogen and testosterone play a </w:t>
      </w:r>
      <w:r w:rsidR="004F4A65">
        <w:t>pi</w:t>
      </w:r>
      <w:r w:rsidRPr="00B62A19">
        <w:t xml:space="preserve">votal </w:t>
      </w:r>
      <w:r w:rsidR="00F1183A">
        <w:t>P</w:t>
      </w:r>
      <w:r w:rsidRPr="00B62A19">
        <w:t xml:space="preserve">art in maintaining bone health, and as people age, the rate of bone conformation gradationally declines </w:t>
      </w:r>
      <w:r w:rsidR="004F4A65">
        <w:t>whi</w:t>
      </w:r>
      <w:r w:rsidR="004F4A65" w:rsidRPr="00B62A19">
        <w:t>le</w:t>
      </w:r>
      <w:r w:rsidRPr="00B62A19">
        <w:t xml:space="preserve"> bone resorption remains constant, leading to a loss of bone viscosity over time. Calcium and Vitamin D are essential for maintaining bone health, and a lack of these nutrients can increase the threat of Developing osteoporosis. All effects considered, osteoporosis is a complex complaint that’s caused by </w:t>
      </w:r>
      <w:r w:rsidR="004F4A65">
        <w:t>ho</w:t>
      </w:r>
      <w:r w:rsidRPr="00B62A19">
        <w:t xml:space="preserve">rmonal, age- related, salutary, life, and medicalfactors.To precisely help or manage </w:t>
      </w:r>
      <w:r w:rsidR="004F4A65">
        <w:t>o</w:t>
      </w:r>
      <w:r w:rsidRPr="00B62A19">
        <w:t>steoporosis it’s pivotal to fete and address these underpinning causes similar as life changes, Salutary supplements, hormone relief remedy, and medicines that encourage bone conformation or</w:t>
      </w:r>
      <w:r w:rsidR="004F4A65">
        <w:t xml:space="preserve"> hel</w:t>
      </w:r>
      <w:r w:rsidRPr="00B62A19">
        <w:t>p bone resorption may all be used as treatment options.</w:t>
      </w:r>
    </w:p>
    <w:p w:rsidR="00541C21" w:rsidRPr="00F4132C" w:rsidRDefault="003918CF" w:rsidP="008D4D3B">
      <w:pPr>
        <w:jc w:val="both"/>
        <w:rPr>
          <w:b/>
          <w:bCs/>
          <w:sz w:val="28"/>
          <w:szCs w:val="28"/>
          <w:u w:val="single"/>
        </w:rPr>
      </w:pPr>
      <w:r w:rsidRPr="00F4132C">
        <w:rPr>
          <w:b/>
          <w:bCs/>
          <w:sz w:val="28"/>
          <w:szCs w:val="28"/>
          <w:u w:val="single"/>
        </w:rPr>
        <w:lastRenderedPageBreak/>
        <w:t>Diagnosis of osteoporosis :</w:t>
      </w:r>
    </w:p>
    <w:p w:rsidR="00610F86" w:rsidRPr="00805C1C" w:rsidRDefault="00CF2D81" w:rsidP="008D4D3B">
      <w:pPr>
        <w:jc w:val="both"/>
      </w:pPr>
      <w:r>
        <w:t xml:space="preserve">Osteoporosis can be cause of dropped bone strength which is the result of bone viscosity and quality.  Numerous exploration studies have shown that there’s a significant correlation between low bone mineral  Viscosity( BMD) and fracture frequency. BMD is substantially described as T- score which shows the number of SD by which the BMD in an individual differs from the mean value anticipated in youthful healthy individualities. The most extensively habituated system for measuring BMD is binary- energyX-ray absorptiometry( DXA), which provides a T- score that compares an existent’s BMD to that of a healthy youthful adult population. According to the World Health Organization( WHO) criteria, a T- score of-2.5 or lower at the chine, hipsterism, or femoral neck is reflective of osteoporosis.  In addition to BMD, clinical threat factors similar as age, gender, former fracture history, family history,  Smoking, alcohol consumption, and use of glucocorticoids are considered in the assessment of fracture </w:t>
      </w:r>
      <w:r w:rsidR="00F556C0">
        <w:t>th</w:t>
      </w:r>
      <w:r>
        <w:t xml:space="preserve">reat. Colorful threat assessment tools, similar as FRAX( Fracture Risk Assessment Tool), incorporate these </w:t>
      </w:r>
      <w:r w:rsidR="00F556C0">
        <w:t>f</w:t>
      </w:r>
      <w:r>
        <w:t>actors to estimate the 10- time probability of a major osteoporotic fracture.</w:t>
      </w:r>
    </w:p>
    <w:p w:rsidR="001F5B2E" w:rsidRPr="0053117E" w:rsidRDefault="003918CF" w:rsidP="008D4D3B">
      <w:pPr>
        <w:jc w:val="both"/>
        <w:rPr>
          <w:b/>
          <w:bCs/>
          <w:sz w:val="28"/>
          <w:szCs w:val="28"/>
        </w:rPr>
      </w:pPr>
      <w:r w:rsidRPr="0053117E">
        <w:rPr>
          <w:b/>
          <w:bCs/>
          <w:sz w:val="28"/>
          <w:szCs w:val="28"/>
          <w:u w:val="single"/>
        </w:rPr>
        <w:t xml:space="preserve">Case </w:t>
      </w:r>
      <w:r w:rsidR="00D258CB" w:rsidRPr="00F4132C">
        <w:rPr>
          <w:b/>
          <w:bCs/>
          <w:sz w:val="28"/>
          <w:szCs w:val="28"/>
          <w:u w:val="single"/>
        </w:rPr>
        <w:t>study</w:t>
      </w:r>
      <w:r w:rsidR="00D258CB" w:rsidRPr="0053117E">
        <w:rPr>
          <w:b/>
          <w:bCs/>
          <w:sz w:val="28"/>
          <w:szCs w:val="28"/>
        </w:rPr>
        <w:t>:</w:t>
      </w:r>
    </w:p>
    <w:p w:rsidR="00284E77" w:rsidRPr="0023493F" w:rsidRDefault="00D31198" w:rsidP="008D4D3B">
      <w:pPr>
        <w:jc w:val="both"/>
      </w:pPr>
      <w:r>
        <w:t>This retrospective cohort study aimed to evaluate the effectiveness of denosumab in preventing fractures among postmenopausal women with osteoporosis in East Asia. The study compared the fracture risk of postmenopausal women receiving real-world clinical care in Taiwan and Hong Kong between a treatment cohort and an off-treatment cohort. The study included a total of 38,906 and 2,835 postmenopausal women receiving denosumab in Taiwan and Hong Kong, respectively. The results were analyzed using a propensity-score-matched methodology that controlled for known factors. The robustness of the results was assessed through several sensitivity and quantitative bias analyses</w:t>
      </w:r>
    </w:p>
    <w:p w:rsidR="00B701D3" w:rsidRPr="00F4132C" w:rsidRDefault="008A32FF" w:rsidP="008D4D3B">
      <w:pPr>
        <w:jc w:val="both"/>
        <w:rPr>
          <w:b/>
          <w:bCs/>
          <w:sz w:val="28"/>
          <w:szCs w:val="28"/>
          <w:u w:val="single"/>
        </w:rPr>
      </w:pPr>
      <w:r w:rsidRPr="00F4132C">
        <w:rPr>
          <w:b/>
          <w:bCs/>
          <w:sz w:val="28"/>
          <w:szCs w:val="28"/>
          <w:u w:val="single"/>
        </w:rPr>
        <w:t xml:space="preserve">Development of </w:t>
      </w:r>
      <w:r w:rsidR="008E70E1" w:rsidRPr="00F4132C">
        <w:rPr>
          <w:b/>
          <w:bCs/>
          <w:sz w:val="28"/>
          <w:szCs w:val="28"/>
          <w:u w:val="single"/>
        </w:rPr>
        <w:t>Osteoporosis:</w:t>
      </w:r>
    </w:p>
    <w:p w:rsidR="00B701D3" w:rsidRDefault="00B701D3" w:rsidP="008D4D3B">
      <w:pPr>
        <w:jc w:val="both"/>
      </w:pPr>
      <w:r>
        <w:t>Osteoporosis is a condition characterized by weak and brittle bones. It typically develops over time due to various factors, including age, hormonal changes, lifestyle choices, and underlying medical conditions. Here are some key factors that contribute to the development of osteoporosis:</w:t>
      </w:r>
    </w:p>
    <w:p w:rsidR="00B701D3" w:rsidRDefault="00B701D3" w:rsidP="008D4D3B">
      <w:pPr>
        <w:jc w:val="both"/>
      </w:pPr>
      <w:r>
        <w:t>As people age, their bones naturally become less dense and weaker, making them more susceptible to osteoporosis. The rate of bone loss tends to increase significantly in women after menopause due to hormonal change</w:t>
      </w:r>
      <w:r w:rsidR="00CA77B5">
        <w:t xml:space="preserve"> </w:t>
      </w:r>
      <w:r w:rsidR="009E148C">
        <w:t>.</w:t>
      </w:r>
      <w:r>
        <w:t>Reduced levels of estrogen in women during menopause accelerate bone loss. Similarly, low levels of testosterone in men can contribute to the development of osteoporosis. Hormonal imbalances or medical conditions affecting the endocrine system can also play a role.</w:t>
      </w:r>
      <w:r w:rsidR="009E148C">
        <w:t xml:space="preserve"> </w:t>
      </w:r>
      <w:r>
        <w:t>Adequate intake of calcium and vitamin D is essential for maintaining healthy bones. A diet low in these nutrients can lead to decreased bone density and increased risk of osteoporosis.</w:t>
      </w:r>
      <w:r w:rsidR="008D4D3B">
        <w:t xml:space="preserve"> </w:t>
      </w:r>
      <w:r>
        <w:t>Lack of physical activity or a sedentary lifestyle can weaken bones over time. Weight-bearing exercises, such as walking or weightlifting, help stimulate bone growth and strengthen bones</w:t>
      </w:r>
      <w:r w:rsidR="009E148C">
        <w:t xml:space="preserve"> . S</w:t>
      </w:r>
      <w:r>
        <w:t>moking and excessive alcohol consumption have been linked to an increased risk of osteoporosis. These substances can interfere with the body’s ability to absorb calcium and affect hormone levels, negatively impacting bone health.</w:t>
      </w:r>
      <w:r w:rsidR="008D4D3B">
        <w:t xml:space="preserve"> </w:t>
      </w:r>
      <w:r>
        <w:t>Osteoporosis tends to run in families, suggesting a genetic component. If your parents or siblings have had osteoporosis or fractures, you may have a higher risk of developing the condition. Some medical conditions, such as rheumatoid arthritis, celiac disease, and certain hormonal disorders, can increase the risk of osteoporosis. Long-term use of certain medications like corticosteroids, anticonvulsants, or some cancer treatments may also contribute to bone loss.</w:t>
      </w:r>
    </w:p>
    <w:p w:rsidR="00B701D3" w:rsidRPr="0049082B" w:rsidRDefault="00B701D3" w:rsidP="008D4D3B">
      <w:pPr>
        <w:jc w:val="both"/>
      </w:pPr>
      <w:r>
        <w:t xml:space="preserve">It’s important to note that while these factors increase the likelihood of developing osteoporosis, they do not guarantee its occurrence. Adopting a </w:t>
      </w:r>
      <w:r>
        <w:lastRenderedPageBreak/>
        <w:t>healthy lifestyle, including regular exercise, a balanced diet rich in calcium and vitamin D, and avoiding smoking and excessive alcohol consumption, can help reduce the risk of osteoporosis. If you are concerned about your bone health, it is advisable to consult with a healthcare professional for a proper evaluation and personalized advice.</w:t>
      </w:r>
    </w:p>
    <w:p w:rsidR="00981916" w:rsidRPr="0053117E" w:rsidRDefault="00981916" w:rsidP="008D4D3B">
      <w:pPr>
        <w:jc w:val="both"/>
        <w:rPr>
          <w:b/>
          <w:bCs/>
          <w:sz w:val="28"/>
          <w:szCs w:val="28"/>
          <w:u w:val="single"/>
        </w:rPr>
      </w:pPr>
      <w:r w:rsidRPr="0053117E">
        <w:rPr>
          <w:b/>
          <w:bCs/>
          <w:sz w:val="28"/>
          <w:szCs w:val="28"/>
          <w:u w:val="single"/>
        </w:rPr>
        <w:t>Lifestyle and dietary measures:</w:t>
      </w:r>
    </w:p>
    <w:p w:rsidR="00981916" w:rsidRDefault="00981916" w:rsidP="008D4D3B">
      <w:pPr>
        <w:pStyle w:val="ListParagraph"/>
        <w:numPr>
          <w:ilvl w:val="0"/>
          <w:numId w:val="6"/>
        </w:numPr>
        <w:jc w:val="both"/>
      </w:pPr>
      <w:r>
        <w:t xml:space="preserve">Through dairy products, obtained the dietary protein, and daily intake the calcium products of between 800 and 1200 mg </w:t>
      </w:r>
    </w:p>
    <w:p w:rsidR="00981916" w:rsidRDefault="00981916" w:rsidP="008D4D3B">
      <w:pPr>
        <w:pStyle w:val="ListParagraph"/>
        <w:numPr>
          <w:ilvl w:val="0"/>
          <w:numId w:val="6"/>
        </w:numPr>
        <w:jc w:val="both"/>
      </w:pPr>
      <w:r>
        <w:t xml:space="preserve">Postmenopausal women who are at a greater risk of fracture should be advised to take 800 IU of cholecalciferol daily. </w:t>
      </w:r>
    </w:p>
    <w:p w:rsidR="00981916" w:rsidRDefault="00981916" w:rsidP="008D4D3B">
      <w:pPr>
        <w:pStyle w:val="ListParagraph"/>
        <w:numPr>
          <w:ilvl w:val="0"/>
          <w:numId w:val="6"/>
        </w:numPr>
        <w:jc w:val="both"/>
      </w:pPr>
      <w:r>
        <w:t>The patients of vitamin D deficiency should intake vitamin D supplements.</w:t>
      </w:r>
    </w:p>
    <w:p w:rsidR="00981916" w:rsidRDefault="00981916" w:rsidP="008D4D3B">
      <w:pPr>
        <w:pStyle w:val="ListParagraph"/>
        <w:numPr>
          <w:ilvl w:val="0"/>
          <w:numId w:val="6"/>
        </w:numPr>
        <w:jc w:val="both"/>
      </w:pPr>
      <w:r>
        <w:t>If the diet contains less than 800 mg of calcium per day, calcium supplements should be used.</w:t>
      </w:r>
    </w:p>
    <w:p w:rsidR="00981916" w:rsidRDefault="00981916" w:rsidP="008D4D3B">
      <w:pPr>
        <w:pStyle w:val="ListParagraph"/>
        <w:numPr>
          <w:ilvl w:val="0"/>
          <w:numId w:val="6"/>
        </w:numPr>
        <w:jc w:val="both"/>
      </w:pPr>
      <w:r>
        <w:t>The patient’s needs and abilities should be taken into consideration when recommending a regular weight-bearing exercise programme.</w:t>
      </w:r>
    </w:p>
    <w:p w:rsidR="00981916" w:rsidRPr="00001B10" w:rsidRDefault="00981916" w:rsidP="008D4D3B">
      <w:pPr>
        <w:pStyle w:val="ListParagraph"/>
        <w:numPr>
          <w:ilvl w:val="0"/>
          <w:numId w:val="6"/>
        </w:numPr>
        <w:jc w:val="both"/>
      </w:pPr>
      <w:r>
        <w:t>Individuals at increased risk of fracture should be asked about any recent falls they have experienced, and those at increased risk should undergo additional evaluation and take the necessary precautions.</w:t>
      </w:r>
    </w:p>
    <w:p w:rsidR="00541C21" w:rsidRPr="0053117E" w:rsidRDefault="003918CF" w:rsidP="00CE0475">
      <w:pPr>
        <w:spacing w:after="0"/>
        <w:jc w:val="both"/>
        <w:rPr>
          <w:b/>
          <w:bCs/>
          <w:sz w:val="28"/>
          <w:szCs w:val="28"/>
          <w:u w:val="single"/>
        </w:rPr>
      </w:pPr>
      <w:r w:rsidRPr="0053117E">
        <w:rPr>
          <w:b/>
          <w:bCs/>
          <w:sz w:val="28"/>
          <w:szCs w:val="28"/>
          <w:u w:val="single"/>
        </w:rPr>
        <w:t>Symptoms of Osteoporosis:</w:t>
      </w:r>
    </w:p>
    <w:p w:rsidR="00541C21" w:rsidRDefault="00CA77B5" w:rsidP="00CA77B5">
      <w:pPr>
        <w:spacing w:before="120" w:after="0" w:line="276" w:lineRule="auto"/>
        <w:jc w:val="both"/>
      </w:pPr>
      <w:r>
        <w:t xml:space="preserve"> </w:t>
      </w:r>
      <w:r w:rsidR="003918CF">
        <w:t>Osteoporosis is a condition described by debilitated and weak bones, making them more vulnerable to breaks. It is frequently alluded to as a quiet illness since it advances without observable side effects until a break happens. In any case, there are sure signs and side effects that might demonstrate the presence of osteoporosis. Here are a few normal side effects related with this condition:</w:t>
      </w:r>
    </w:p>
    <w:p w:rsidR="00CA77B5" w:rsidRDefault="00CA77B5" w:rsidP="00CE0475">
      <w:pPr>
        <w:spacing w:before="120" w:after="0" w:line="276" w:lineRule="auto"/>
        <w:jc w:val="both"/>
      </w:pPr>
    </w:p>
    <w:p w:rsidR="00541C21" w:rsidRDefault="003918CF" w:rsidP="00CE0475">
      <w:pPr>
        <w:spacing w:before="120" w:after="0" w:line="276" w:lineRule="auto"/>
        <w:jc w:val="both"/>
      </w:pPr>
      <w:r w:rsidRPr="0060190A">
        <w:rPr>
          <w:b/>
          <w:bCs/>
          <w:color w:val="000000"/>
        </w:rPr>
        <w:t>Cracks</w:t>
      </w:r>
      <w:r>
        <w:t>: Osteoporosis expands the gamble of breaks, particularly in the spine, hip, and wrist. These breaks can happen with insignificant injury, like a tumble from standing level or even from minor weight on the bones. Spinal cracks might cause steady beginning of back torment, deficiency of level, or a stooped stance (dame's protuberance).</w:t>
      </w:r>
    </w:p>
    <w:p w:rsidR="00CE0475" w:rsidRDefault="003918CF" w:rsidP="00CE0475">
      <w:pPr>
        <w:spacing w:before="120" w:line="276" w:lineRule="auto"/>
        <w:jc w:val="both"/>
      </w:pPr>
      <w:r w:rsidRPr="0060190A">
        <w:rPr>
          <w:b/>
          <w:bCs/>
        </w:rPr>
        <w:t>Bone torment</w:t>
      </w:r>
      <w:r>
        <w:t>: A few people with osteoporosis might encounter bone torment, which can be confined or broad. The aggravation might be steady</w:t>
      </w:r>
      <w:r w:rsidR="00CE0475">
        <w:t xml:space="preserve"> </w:t>
      </w:r>
    </w:p>
    <w:p w:rsidR="00541C21" w:rsidRDefault="003918CF" w:rsidP="00CE0475">
      <w:pPr>
        <w:spacing w:before="120" w:line="276" w:lineRule="auto"/>
        <w:jc w:val="both"/>
      </w:pPr>
      <w:r>
        <w:t xml:space="preserve"> or happen irregularly, and it can go from gentle to serious. It is critical to take note of that bone aggravation can likewise be brought about by different circumstances, so a careful assessment is important to decide the hidden reason.</w:t>
      </w:r>
    </w:p>
    <w:p w:rsidR="00541C21" w:rsidRDefault="003918CF" w:rsidP="00CE0475">
      <w:pPr>
        <w:spacing w:before="120" w:line="276" w:lineRule="auto"/>
        <w:jc w:val="both"/>
      </w:pPr>
      <w:r w:rsidRPr="0060190A">
        <w:rPr>
          <w:b/>
          <w:bCs/>
        </w:rPr>
        <w:t>Diminished level:</w:t>
      </w:r>
      <w:r>
        <w:t xml:space="preserve"> Osteoporosis can prompt a deficiency of level over the long run. This is basically because of breaks in the spine, which can cause pressure of the vertebrae and resulting breakdown. Thus, people with osteoporosis might see a slow diminishing in their general level.</w:t>
      </w:r>
    </w:p>
    <w:p w:rsidR="00CE0475" w:rsidRDefault="003918CF" w:rsidP="00CE0475">
      <w:pPr>
        <w:spacing w:before="120" w:line="276" w:lineRule="auto"/>
        <w:jc w:val="both"/>
      </w:pPr>
      <w:r w:rsidRPr="002C578B">
        <w:rPr>
          <w:b/>
          <w:bCs/>
        </w:rPr>
        <w:t xml:space="preserve">Stooped act: </w:t>
      </w:r>
      <w:r>
        <w:t>Osteoporosis-related cracks in the spine can likewise cause a stooped or slouched act, known as kyphosis or lady's mound. This happens when numerous vertebrae breakdown, prompting a forward bend of the upper back. A stooped stance can additionally add to a deficiency of level and can influence a singular's versatility and by and large personal satisfaction.</w:t>
      </w:r>
    </w:p>
    <w:p w:rsidR="00CE0475" w:rsidRDefault="003918CF" w:rsidP="00CE0475">
      <w:pPr>
        <w:spacing w:before="120" w:line="276" w:lineRule="auto"/>
        <w:jc w:val="both"/>
      </w:pPr>
      <w:r w:rsidRPr="00D56C6E">
        <w:rPr>
          <w:b/>
          <w:bCs/>
        </w:rPr>
        <w:t>Tooth misfortune:</w:t>
      </w:r>
      <w:r>
        <w:t xml:space="preserve"> Osteoporosis can influence the jawbone, prompting tooth misfortune at times. The jawbone offers help for the teeth, and debilitated bones might think twice about trustworthiness, bringing about tooth misfortune or slackening of the teeth. Standard dental check-ups are vital for screen oral wellbeing, particularly in people with osteoporosis.</w:t>
      </w:r>
    </w:p>
    <w:p w:rsidR="00541C21" w:rsidRDefault="003918CF" w:rsidP="00CE0475">
      <w:pPr>
        <w:spacing w:before="120" w:line="276" w:lineRule="auto"/>
        <w:jc w:val="both"/>
      </w:pPr>
      <w:r>
        <w:t xml:space="preserve">It means quite a bit to take note of that the side effects of osteoporosis might shift from one </w:t>
      </w:r>
      <w:r>
        <w:lastRenderedPageBreak/>
        <w:t>individual to another. A few people might encounter different side effects, while others might have no side effects until a break happens. In the event that you suspect you might have osteoporosis or are in danger, it is critical to talk with a medical care proficient for legitimate determination and proper administration.</w:t>
      </w:r>
    </w:p>
    <w:p w:rsidR="00541C21" w:rsidRPr="008D4D3B" w:rsidRDefault="003918CF" w:rsidP="00CE0475">
      <w:pPr>
        <w:spacing w:line="240" w:lineRule="auto"/>
        <w:jc w:val="both"/>
        <w:rPr>
          <w:sz w:val="32"/>
          <w:szCs w:val="32"/>
        </w:rPr>
      </w:pPr>
      <w:r w:rsidRPr="0053117E">
        <w:rPr>
          <w:b/>
          <w:bCs/>
          <w:sz w:val="28"/>
          <w:szCs w:val="28"/>
          <w:u w:val="single"/>
        </w:rPr>
        <w:t>Precautions</w:t>
      </w:r>
      <w:r w:rsidRPr="008D4D3B">
        <w:rPr>
          <w:sz w:val="32"/>
          <w:szCs w:val="32"/>
        </w:rPr>
        <w:t>:</w:t>
      </w:r>
    </w:p>
    <w:p w:rsidR="00541C21" w:rsidRDefault="003918CF" w:rsidP="00CE0475">
      <w:pPr>
        <w:spacing w:line="240" w:lineRule="auto"/>
        <w:jc w:val="both"/>
      </w:pPr>
      <w:r>
        <w:t xml:space="preserve">A few precautionary measures and way of life changes that people can integrate to advance bone wellbeing and decrease the gamble of </w:t>
      </w:r>
      <w:r w:rsidR="0048166B">
        <w:t>breaks. Precautionary</w:t>
      </w:r>
      <w:r>
        <w:t xml:space="preserve"> measures and Way of life Adjustments:</w:t>
      </w:r>
    </w:p>
    <w:p w:rsidR="00541C21" w:rsidRPr="00CE0475" w:rsidRDefault="003918CF" w:rsidP="00CE0475">
      <w:pPr>
        <w:spacing w:line="240" w:lineRule="auto"/>
        <w:jc w:val="both"/>
        <w:rPr>
          <w:b/>
          <w:bCs/>
          <w:sz w:val="24"/>
          <w:szCs w:val="24"/>
        </w:rPr>
      </w:pPr>
      <w:r w:rsidRPr="00CE0475">
        <w:rPr>
          <w:b/>
          <w:bCs/>
          <w:sz w:val="24"/>
          <w:szCs w:val="24"/>
        </w:rPr>
        <w:t>1. Satisfactory Calcium Admission:</w:t>
      </w:r>
    </w:p>
    <w:p w:rsidR="00541C21" w:rsidRPr="00CE0475" w:rsidRDefault="003918CF" w:rsidP="00CE0475">
      <w:pPr>
        <w:spacing w:line="240" w:lineRule="auto"/>
        <w:jc w:val="both"/>
      </w:pPr>
      <w:r>
        <w:t xml:space="preserve">Calcium is fundamental for keeping up with bone wellbeing and forestalling osteoporosis. Hold back nothing admission of 1000-1200 mg of calcium through dietary sources like dairy items, verdant green vegetables, invigorated food varieties, and enhancements if fundamental. Counsel a medical services proficient to decide the proper calcium </w:t>
      </w:r>
      <w:r w:rsidRPr="00CE0475">
        <w:t>supplementation, whenever required.</w:t>
      </w:r>
    </w:p>
    <w:p w:rsidR="00541C21" w:rsidRPr="00CE0475" w:rsidRDefault="003918CF" w:rsidP="00CE0475">
      <w:pPr>
        <w:spacing w:line="240" w:lineRule="auto"/>
        <w:jc w:val="both"/>
        <w:rPr>
          <w:b/>
          <w:bCs/>
          <w:sz w:val="24"/>
          <w:szCs w:val="24"/>
        </w:rPr>
      </w:pPr>
      <w:r w:rsidRPr="00CE0475">
        <w:rPr>
          <w:b/>
          <w:bCs/>
          <w:sz w:val="24"/>
          <w:szCs w:val="24"/>
        </w:rPr>
        <w:t>2. Adequate Vitamin D Levels:</w:t>
      </w:r>
    </w:p>
    <w:p w:rsidR="00541C21" w:rsidRDefault="003918CF" w:rsidP="00CE0475">
      <w:pPr>
        <w:spacing w:line="240" w:lineRule="auto"/>
        <w:jc w:val="both"/>
      </w:pPr>
      <w:r>
        <w:t>Vitamin D guides in calcium retention and assumes a urgent part in bone wellbeing. Guarantee satisfactory openness to daylight, eat vitamin D-rich food sources (e.g., greasy fish, sustained dairy items, egg yolks), and think about vitamin D enhancements, particularly in people with restricted sun openness or lack.</w:t>
      </w:r>
    </w:p>
    <w:p w:rsidR="00541C21" w:rsidRPr="00CE0475" w:rsidRDefault="003918CF" w:rsidP="00CE0475">
      <w:pPr>
        <w:spacing w:line="240" w:lineRule="auto"/>
        <w:jc w:val="both"/>
        <w:rPr>
          <w:b/>
          <w:bCs/>
          <w:sz w:val="24"/>
          <w:szCs w:val="24"/>
        </w:rPr>
      </w:pPr>
      <w:r w:rsidRPr="00CE0475">
        <w:rPr>
          <w:b/>
          <w:bCs/>
          <w:sz w:val="24"/>
          <w:szCs w:val="24"/>
        </w:rPr>
        <w:t>3. Customary Activity:</w:t>
      </w:r>
    </w:p>
    <w:p w:rsidR="0023493F" w:rsidRPr="00CE0475" w:rsidRDefault="003918CF" w:rsidP="00CE0475">
      <w:pPr>
        <w:spacing w:line="240" w:lineRule="auto"/>
        <w:jc w:val="both"/>
      </w:pPr>
      <w:r>
        <w:t>Taking part in weight-bearing and obstruction activities can help fabricate and keep up with bone thickness. Exercises like strolling, running, moving, weightlifting, and yoga are useful for bone wellbeing. Talk with a medical care proficient to foster a work-out routine custom-made to individual requirements and capacities.</w:t>
      </w:r>
    </w:p>
    <w:p w:rsidR="00541C21" w:rsidRPr="00CE0475" w:rsidRDefault="003918CF" w:rsidP="00CE0475">
      <w:pPr>
        <w:spacing w:line="240" w:lineRule="auto"/>
        <w:jc w:val="both"/>
        <w:rPr>
          <w:b/>
          <w:bCs/>
          <w:sz w:val="24"/>
          <w:szCs w:val="24"/>
        </w:rPr>
      </w:pPr>
      <w:r w:rsidRPr="00CE0475">
        <w:rPr>
          <w:b/>
          <w:bCs/>
          <w:sz w:val="24"/>
          <w:szCs w:val="24"/>
        </w:rPr>
        <w:t>4. Fall Avoidance:</w:t>
      </w:r>
    </w:p>
    <w:p w:rsidR="00541C21" w:rsidRDefault="003918CF" w:rsidP="00CE0475">
      <w:pPr>
        <w:spacing w:line="240" w:lineRule="auto"/>
        <w:jc w:val="both"/>
      </w:pPr>
      <w:r>
        <w:t>Forestalling falls is critical to limit the gamble of breaks, especially in people with osteoporosis. Carry out wellbeing measures at home, for example, eliminating stumbling risks, utilizing suitable lighting, and introducing get bars in washrooms. Consistently survey meds with a medical services supplier, as specific drugs might increment fall risk.</w:t>
      </w:r>
    </w:p>
    <w:p w:rsidR="00CE0475" w:rsidRDefault="00CE0475" w:rsidP="00CE0475">
      <w:pPr>
        <w:spacing w:line="240" w:lineRule="auto"/>
        <w:jc w:val="both"/>
      </w:pPr>
    </w:p>
    <w:p w:rsidR="00541C21" w:rsidRPr="00CE0475" w:rsidRDefault="003918CF" w:rsidP="00CE0475">
      <w:pPr>
        <w:spacing w:line="240" w:lineRule="auto"/>
        <w:jc w:val="both"/>
        <w:rPr>
          <w:b/>
          <w:bCs/>
          <w:sz w:val="24"/>
          <w:szCs w:val="24"/>
        </w:rPr>
      </w:pPr>
      <w:r w:rsidRPr="00CE0475">
        <w:rPr>
          <w:b/>
          <w:bCs/>
          <w:sz w:val="24"/>
          <w:szCs w:val="24"/>
        </w:rPr>
        <w:t>5. Adjusted Diet:</w:t>
      </w:r>
    </w:p>
    <w:p w:rsidR="00541C21" w:rsidRDefault="003918CF" w:rsidP="00CE0475">
      <w:pPr>
        <w:spacing w:line="240" w:lineRule="auto"/>
        <w:jc w:val="both"/>
      </w:pPr>
      <w:r>
        <w:t>Embracing an even eating routine that incorporates sufficient protein, natural products, vegetables, and entire grains advances generally wellbeing and supports bone wellbeing. Limit unnecessary utilization of liquor, caffeine, and handled food varieties, as they can adversely affect bone wellbeing.</w:t>
      </w:r>
    </w:p>
    <w:p w:rsidR="00541C21" w:rsidRPr="00CE0475" w:rsidRDefault="003918CF" w:rsidP="00CE0475">
      <w:pPr>
        <w:spacing w:line="240" w:lineRule="auto"/>
        <w:jc w:val="both"/>
        <w:rPr>
          <w:b/>
          <w:bCs/>
          <w:sz w:val="24"/>
          <w:szCs w:val="24"/>
        </w:rPr>
      </w:pPr>
      <w:r w:rsidRPr="00CE0475">
        <w:rPr>
          <w:b/>
          <w:bCs/>
          <w:sz w:val="24"/>
          <w:szCs w:val="24"/>
        </w:rPr>
        <w:t>6. Smoking Suspension:</w:t>
      </w:r>
    </w:p>
    <w:p w:rsidR="00541C21" w:rsidRDefault="003918CF" w:rsidP="00CE0475">
      <w:pPr>
        <w:spacing w:line="240" w:lineRule="auto"/>
        <w:jc w:val="both"/>
      </w:pPr>
      <w:r>
        <w:t>Smoking inconveniently affects bone wellbeing, expanding the gamble of osteoporosis and breaks. Stopping smoking advantages bone wellbeing as well as gives various other medical advantages. Look for help from medical services experts or care groups to effectively stop smoking.</w:t>
      </w:r>
    </w:p>
    <w:p w:rsidR="00541C21" w:rsidRPr="00CE0475" w:rsidRDefault="003918CF" w:rsidP="00CE0475">
      <w:pPr>
        <w:spacing w:line="240" w:lineRule="auto"/>
        <w:jc w:val="both"/>
        <w:rPr>
          <w:b/>
          <w:bCs/>
          <w:sz w:val="24"/>
          <w:szCs w:val="24"/>
        </w:rPr>
      </w:pPr>
      <w:r w:rsidRPr="00CE0475">
        <w:rPr>
          <w:b/>
          <w:bCs/>
          <w:sz w:val="24"/>
          <w:szCs w:val="24"/>
        </w:rPr>
        <w:t>7. Limit Liquor Admission:</w:t>
      </w:r>
    </w:p>
    <w:p w:rsidR="00541C21" w:rsidRDefault="003918CF" w:rsidP="00CE0475">
      <w:pPr>
        <w:spacing w:line="240" w:lineRule="auto"/>
        <w:jc w:val="both"/>
      </w:pPr>
      <w:r>
        <w:t>Over the top liquor utilization can debilitate bones and increment the gamble of cracks. Limit liquor admission to direct levels (dependent upon one beverage each day for ladies and up to two beverages each day for men) or consider going without liquor to advance bone wellbeing.</w:t>
      </w:r>
    </w:p>
    <w:p w:rsidR="00541C21" w:rsidRPr="00CE0475" w:rsidRDefault="003918CF" w:rsidP="00CE0475">
      <w:pPr>
        <w:spacing w:line="240" w:lineRule="auto"/>
        <w:jc w:val="both"/>
        <w:rPr>
          <w:b/>
          <w:bCs/>
          <w:sz w:val="24"/>
          <w:szCs w:val="24"/>
        </w:rPr>
      </w:pPr>
      <w:r w:rsidRPr="00CE0475">
        <w:rPr>
          <w:b/>
          <w:bCs/>
          <w:sz w:val="24"/>
          <w:szCs w:val="24"/>
        </w:rPr>
        <w:t>8. Normal Bone Thickness Testing:</w:t>
      </w:r>
    </w:p>
    <w:p w:rsidR="00541C21" w:rsidRDefault="003918CF" w:rsidP="00CE0475">
      <w:pPr>
        <w:spacing w:line="240" w:lineRule="auto"/>
        <w:jc w:val="both"/>
      </w:pPr>
      <w:r>
        <w:t>Normal bone mineral thickness (BMD) testing evaluates the state of bones and the adequacy of preventive measures or medicines. Talk with a medical services proficient to decide the proper recurrence of BMD testing in light of individual gamble elements and clinical history.</w:t>
      </w:r>
    </w:p>
    <w:p w:rsidR="00DE7C83" w:rsidRDefault="003918CF" w:rsidP="00CE0475">
      <w:pPr>
        <w:spacing w:line="240" w:lineRule="auto"/>
        <w:jc w:val="both"/>
      </w:pPr>
      <w:r>
        <w:t xml:space="preserve">Safeguards for osteoporosis center around advancing bone wellbeing and decreasing the gamble of breaks. By taking on a sound way of life that incorporates sufficient calcium and vitamin D </w:t>
      </w:r>
      <w:r>
        <w:lastRenderedPageBreak/>
        <w:t>admission, normal activity, fall counteraction systems, a fair eating regimen, smoking end, restricted liquor utilization, and ordinary BMD testing, people can effectively oversee and relieve the effect of osteoporosis. Talking with medical care experts is fundamental for tailor prudent steps to</w:t>
      </w:r>
      <w:r w:rsidR="00CE0475">
        <w:t xml:space="preserve"> </w:t>
      </w:r>
      <w:r>
        <w:t>individual necessities and guarantee ideal bone wellbeing over the course of life</w:t>
      </w:r>
    </w:p>
    <w:p w:rsidR="00CE0475" w:rsidRDefault="00CE0475" w:rsidP="00CE0475">
      <w:pPr>
        <w:spacing w:line="240" w:lineRule="auto"/>
        <w:jc w:val="both"/>
      </w:pPr>
    </w:p>
    <w:p w:rsidR="00667841" w:rsidRPr="003A27E6" w:rsidRDefault="00667841" w:rsidP="00CA77B5">
      <w:pPr>
        <w:spacing w:after="120" w:line="240" w:lineRule="auto"/>
        <w:jc w:val="both"/>
        <w:rPr>
          <w:b/>
          <w:bCs/>
          <w:sz w:val="24"/>
          <w:szCs w:val="24"/>
          <w:u w:val="single"/>
        </w:rPr>
      </w:pPr>
      <w:r w:rsidRPr="003A27E6">
        <w:rPr>
          <w:b/>
          <w:bCs/>
          <w:sz w:val="24"/>
          <w:szCs w:val="24"/>
          <w:u w:val="single"/>
        </w:rPr>
        <w:t>FRACTURE RISK ASSESSMENT</w:t>
      </w:r>
    </w:p>
    <w:p w:rsidR="00667841" w:rsidRPr="00667841" w:rsidRDefault="00667841" w:rsidP="00CA77B5">
      <w:pPr>
        <w:spacing w:after="120" w:line="240" w:lineRule="auto"/>
        <w:jc w:val="both"/>
      </w:pPr>
      <w:r w:rsidRPr="00667841">
        <w:t>High risk of osteoporotic fracture is identified by Fracture Risk Assessment Tool (FRAX).This tool is available and widely used.   At the high risk of fracture,  Korean Society for Bone and Mineral Research (KSBMR) recommend for the treatment of women, using interventions.</w:t>
      </w:r>
    </w:p>
    <w:p w:rsidR="00667841" w:rsidRPr="00667841" w:rsidRDefault="00667841" w:rsidP="00CA77B5">
      <w:pPr>
        <w:spacing w:after="120" w:line="240" w:lineRule="auto"/>
        <w:jc w:val="both"/>
      </w:pPr>
      <w:r w:rsidRPr="00667841">
        <w:t xml:space="preserve">1-osteoporotic fracture in postmenopausal older age of women. </w:t>
      </w:r>
    </w:p>
    <w:p w:rsidR="00667841" w:rsidRPr="00667841" w:rsidRDefault="00667841" w:rsidP="00CA77B5">
      <w:pPr>
        <w:spacing w:after="120" w:line="240" w:lineRule="auto"/>
        <w:jc w:val="both"/>
      </w:pPr>
      <w:r w:rsidRPr="00667841">
        <w:t xml:space="preserve">2-high risk of fracture in women who are 60years old or younger. </w:t>
      </w:r>
    </w:p>
    <w:p w:rsidR="00667841" w:rsidRPr="00667841" w:rsidRDefault="00667841" w:rsidP="00CA77B5">
      <w:pPr>
        <w:spacing w:after="120" w:line="240" w:lineRule="auto"/>
        <w:jc w:val="both"/>
      </w:pPr>
      <w:r w:rsidRPr="00667841">
        <w:t xml:space="preserve"> For medical treatment,</w:t>
      </w:r>
      <w:r w:rsidR="00CE0475">
        <w:t xml:space="preserve"> </w:t>
      </w:r>
      <w:r w:rsidRPr="00667841">
        <w:t xml:space="preserve">Patients receive coverage over a period of three years by using these guidelines. </w:t>
      </w:r>
    </w:p>
    <w:p w:rsidR="00667841" w:rsidRPr="00CE0475" w:rsidRDefault="00667841" w:rsidP="00CA77B5">
      <w:pPr>
        <w:spacing w:after="120" w:line="240" w:lineRule="auto"/>
        <w:jc w:val="both"/>
        <w:rPr>
          <w:b/>
          <w:bCs/>
          <w:sz w:val="28"/>
          <w:szCs w:val="28"/>
          <w:u w:val="single"/>
        </w:rPr>
      </w:pPr>
      <w:r w:rsidRPr="00CE0475">
        <w:rPr>
          <w:b/>
          <w:bCs/>
          <w:sz w:val="28"/>
          <w:szCs w:val="28"/>
          <w:u w:val="single"/>
        </w:rPr>
        <w:t>Patients at very high risk of fracture:</w:t>
      </w:r>
    </w:p>
    <w:p w:rsidR="00667841" w:rsidRPr="00667841" w:rsidRDefault="00667841" w:rsidP="00CA77B5">
      <w:pPr>
        <w:spacing w:after="120" w:line="240" w:lineRule="auto"/>
        <w:jc w:val="both"/>
      </w:pPr>
      <w:r w:rsidRPr="00667841">
        <w:t xml:space="preserve">The predictive ability of FRAX should be improving for patients, by integration of some characteristics such as location, number, the time of first fracture . Because an increased risk of future fracture are associated by location, number and the time of first fracture, multiple fractures increase fracture risk in individuals. </w:t>
      </w:r>
    </w:p>
    <w:p w:rsidR="00667841" w:rsidRPr="00667841" w:rsidRDefault="00667841" w:rsidP="00CA77B5">
      <w:pPr>
        <w:spacing w:after="120" w:line="240" w:lineRule="auto"/>
        <w:jc w:val="both"/>
      </w:pPr>
      <w:r w:rsidRPr="00667841">
        <w:t>While preserving the 10-year probability as the best model,FRAX calibration enhanced by MOF in the tiny subgroups of those who have a very high risk of fracture.  The high risk of fracture in women who is 50 years of age or older ,1.6 times, NOGG suggested upper intervention the current intervention threshold which would place in it.</w:t>
      </w:r>
    </w:p>
    <w:p w:rsidR="00541C21" w:rsidRPr="0053117E" w:rsidRDefault="003918CF" w:rsidP="00CA77B5">
      <w:pPr>
        <w:spacing w:after="120" w:line="240" w:lineRule="auto"/>
        <w:jc w:val="both"/>
        <w:rPr>
          <w:b/>
          <w:bCs/>
          <w:sz w:val="28"/>
          <w:szCs w:val="28"/>
          <w:u w:val="single"/>
        </w:rPr>
      </w:pPr>
      <w:r w:rsidRPr="0053117E">
        <w:rPr>
          <w:b/>
          <w:bCs/>
          <w:sz w:val="28"/>
          <w:szCs w:val="28"/>
          <w:u w:val="single"/>
        </w:rPr>
        <w:t>Treatment of osteoporosis:</w:t>
      </w:r>
    </w:p>
    <w:p w:rsidR="00541C21" w:rsidRDefault="003918CF" w:rsidP="00CA77B5">
      <w:pPr>
        <w:spacing w:after="120" w:line="240" w:lineRule="auto"/>
        <w:jc w:val="both"/>
      </w:pPr>
      <w:r>
        <w:t xml:space="preserve">Osteoporosis, a constant condition described by diminished bone thickness and expanded crack gamble, requires a complex treatment approach </w:t>
      </w:r>
      <w:r>
        <w:t>pointed toward working on bone strength and lessening the probability of breaks. The administration of osteoporosis regularly incorporates way of life changes, pharmacological intercessions, and some of the time careful choices. Way of life changes envelop customary weight-bearing activities, for example, strolling or obstruction preparing, alongside a fair eating regimen plentiful in calcium and vitamin D. These actions mean to improve bone wellbeing, keep up with muscle strength, and forestall falls, which can be inconvenient for people with delicate bones.</w:t>
      </w:r>
    </w:p>
    <w:p w:rsidR="00541C21" w:rsidRDefault="003918CF" w:rsidP="00CA77B5">
      <w:pPr>
        <w:spacing w:after="120" w:line="240" w:lineRule="auto"/>
        <w:jc w:val="both"/>
      </w:pPr>
      <w:r>
        <w:t>Pharmacological mediations assume a critical part in the treatment of osteoporosis. A few drugs are accessible to increment bone thickness and lessen break risk. Normally endorsed drugs incorporate bisphosphonates (e.g., alendronate, risedronate), which repress bone breakdown, and specific estrogen receptor modulators (SERMs, for example, raloxifene, which assist with keeping up with bone thickness in postmenopausal ladies. Different choices incorporate chemical substitution treatment (HRT) in postmenopausal ladies, teriparatide (a manufactured type of parathyroid chemical), and denosumab (a monoclonal immunizer that blocks bone resorption). The decision of prescription relies upon elements, for example, age, sex, break hazard, and by and large wellbeing. In instances of extreme osteoporosis or cracks that don't answer moderate treatment, surgeries, for example, vertebroplasty or kyphoplasty might be considered to settle broke vertebrae and ease torment.</w:t>
      </w:r>
    </w:p>
    <w:p w:rsidR="00541C21" w:rsidRDefault="003918CF" w:rsidP="00CA77B5">
      <w:pPr>
        <w:spacing w:after="120" w:line="240" w:lineRule="auto"/>
        <w:jc w:val="both"/>
      </w:pPr>
      <w:r>
        <w:t>It is critical to take note of that the treatment plan for osteoporosis ought to be individualized, considering the patient's particular ne</w:t>
      </w:r>
      <w:r w:rsidR="00CA77B5">
        <w:t xml:space="preserve">cessities and chance variables. </w:t>
      </w:r>
      <w:r>
        <w:t>Standard observing and assessment by medical care experts are fundamental to survey therapy viability, change medicine regimens, and address any expected aftereffects or intricacies.</w:t>
      </w:r>
    </w:p>
    <w:p w:rsidR="0090696E" w:rsidRDefault="0090696E" w:rsidP="00CA77B5">
      <w:pPr>
        <w:spacing w:after="120" w:line="240" w:lineRule="auto"/>
        <w:jc w:val="both"/>
      </w:pPr>
      <w:r>
        <w:t xml:space="preserve">Osteoporosis causes a very rare diseases like hypertension, diabetes, heart disease. Even in the </w:t>
      </w:r>
      <w:r w:rsidR="00CA77B5">
        <w:t>secondary</w:t>
      </w:r>
      <w:r>
        <w:t xml:space="preserve"> prevention setting, </w:t>
      </w:r>
    </w:p>
    <w:p w:rsidR="00D82CC1" w:rsidRPr="0053117E" w:rsidRDefault="00D82CC1" w:rsidP="00CA77B5">
      <w:pPr>
        <w:spacing w:after="120" w:line="240" w:lineRule="auto"/>
        <w:jc w:val="both"/>
        <w:rPr>
          <w:b/>
          <w:bCs/>
          <w:sz w:val="28"/>
          <w:szCs w:val="28"/>
          <w:u w:val="single"/>
        </w:rPr>
      </w:pPr>
      <w:r w:rsidRPr="0053117E">
        <w:rPr>
          <w:b/>
          <w:bCs/>
          <w:sz w:val="28"/>
          <w:szCs w:val="28"/>
          <w:u w:val="single"/>
        </w:rPr>
        <w:t>Osteoporosis treatment in future:</w:t>
      </w:r>
    </w:p>
    <w:p w:rsidR="00541C21" w:rsidRDefault="00D82CC1" w:rsidP="00CA77B5">
      <w:pPr>
        <w:spacing w:after="120" w:line="240" w:lineRule="auto"/>
        <w:jc w:val="both"/>
      </w:pPr>
      <w:r>
        <w:lastRenderedPageBreak/>
        <w:t xml:space="preserve">In the future, stem cell therapy may be used by doctors to treat osteoporosis, as a 2016 study found that injecting a type of stem cell into mice reversed osteoporosis and bone </w:t>
      </w:r>
      <w:r w:rsidRPr="00DD1B35">
        <w:rPr>
          <w:sz w:val="24"/>
          <w:szCs w:val="24"/>
        </w:rPr>
        <w:t>loss</w:t>
      </w:r>
      <w:r>
        <w:t xml:space="preserve"> in a way that could potentially benefit humans. Additionally, researchers are exploring the genetic factors that significantly influence bone density, with the hope of identifying the genes responsible for bone formation and loss, leading to new treatment options for osteoporosis.</w:t>
      </w:r>
    </w:p>
    <w:p w:rsidR="002A5664" w:rsidRDefault="002A5664" w:rsidP="00CA77B5">
      <w:pPr>
        <w:spacing w:after="120" w:line="240" w:lineRule="auto"/>
        <w:jc w:val="both"/>
        <w:rPr>
          <w:b/>
          <w:bCs/>
          <w:u w:val="single"/>
        </w:rPr>
      </w:pPr>
      <w:r w:rsidRPr="00DD1B35">
        <w:rPr>
          <w:b/>
          <w:bCs/>
          <w:sz w:val="24"/>
          <w:szCs w:val="24"/>
          <w:u w:val="single"/>
        </w:rPr>
        <w:t>References</w:t>
      </w:r>
      <w:r>
        <w:rPr>
          <w:b/>
          <w:bCs/>
          <w:u w:val="single"/>
        </w:rPr>
        <w:t>:</w:t>
      </w:r>
    </w:p>
    <w:p w:rsidR="007118FE" w:rsidRDefault="007118FE" w:rsidP="005656A6">
      <w:pPr>
        <w:pStyle w:val="ListParagraph"/>
        <w:numPr>
          <w:ilvl w:val="0"/>
          <w:numId w:val="10"/>
        </w:numPr>
        <w:spacing w:after="120" w:line="240" w:lineRule="auto"/>
        <w:jc w:val="both"/>
      </w:pPr>
      <w:r>
        <w:t>Karen M. Prestwood MD, Anne M and Kenny MD.Osteoporosis: Pathogenesis, Diagnosis, and Treatment in Older Adults. Clinics in Generic Research.1998;3(14):577-600.</w:t>
      </w:r>
    </w:p>
    <w:p w:rsidR="007118FE" w:rsidRDefault="007118FE" w:rsidP="005656A6">
      <w:pPr>
        <w:pStyle w:val="ListParagraph"/>
        <w:numPr>
          <w:ilvl w:val="0"/>
          <w:numId w:val="10"/>
        </w:numPr>
        <w:spacing w:after="120" w:line="240" w:lineRule="auto"/>
        <w:jc w:val="both"/>
      </w:pPr>
      <w:r>
        <w:t>Anne M. Kenny MD and Karen M. Prestwood MD.OSTEOPOROSIS: Pathogenesis, Diagnosis, and Treatment in Older Adults.Reumetic Disease Clinics of north America.2000;3(26):569-591.</w:t>
      </w:r>
    </w:p>
    <w:p w:rsidR="007118FE" w:rsidRDefault="007118FE" w:rsidP="005656A6">
      <w:pPr>
        <w:pStyle w:val="ListParagraph"/>
        <w:numPr>
          <w:ilvl w:val="0"/>
          <w:numId w:val="10"/>
        </w:numPr>
        <w:spacing w:after="120" w:line="240" w:lineRule="auto"/>
        <w:jc w:val="both"/>
      </w:pPr>
      <w:r>
        <w:t>Aliya Khan MD and Michel Fortier MD.RETIRED: Osteoporosis in Menopause. Journal of obstetrics and gynecology Canada.2014;9(36):839-840.</w:t>
      </w:r>
    </w:p>
    <w:p w:rsidR="007118FE" w:rsidRDefault="007118FE" w:rsidP="005656A6">
      <w:pPr>
        <w:pStyle w:val="ListParagraph"/>
        <w:numPr>
          <w:ilvl w:val="0"/>
          <w:numId w:val="10"/>
        </w:numPr>
        <w:spacing w:after="120" w:line="240" w:lineRule="auto"/>
        <w:jc w:val="both"/>
      </w:pPr>
      <w:r>
        <w:t>Aliya A. Khan, Anthony B. Hodsman, Alexandra Papaioannou, David Kendler, Jacques P. Brown and Wojciech P. Olszynski. Management of osteoporosis in men: an update and case example.Candian Medical Association Journal.2007;176 (3): 345-348.</w:t>
      </w:r>
    </w:p>
    <w:p w:rsidR="007118FE" w:rsidRDefault="007118FE" w:rsidP="005656A6">
      <w:pPr>
        <w:pStyle w:val="ListParagraph"/>
        <w:numPr>
          <w:ilvl w:val="0"/>
          <w:numId w:val="10"/>
        </w:numPr>
        <w:spacing w:after="120" w:line="240" w:lineRule="auto"/>
        <w:jc w:val="both"/>
      </w:pPr>
      <w:r>
        <w:t>J.A kanis and N.Burlet.European guidance for the diagnosis and management of osteoporosis in postmenopausal osteoporosis International.2008;(19):399–428.</w:t>
      </w:r>
    </w:p>
    <w:p w:rsidR="007118FE" w:rsidRDefault="007118FE" w:rsidP="005656A6">
      <w:pPr>
        <w:pStyle w:val="ListParagraph"/>
        <w:numPr>
          <w:ilvl w:val="0"/>
          <w:numId w:val="10"/>
        </w:numPr>
        <w:spacing w:after="120" w:line="240" w:lineRule="auto"/>
        <w:jc w:val="both"/>
      </w:pPr>
      <w:r>
        <w:t>Kim.M and O Conner MD.Evaluation and Treatment of Osteoporosis.Medical Clinics.2016;3(100):807-826.</w:t>
      </w:r>
    </w:p>
    <w:p w:rsidR="007118FE" w:rsidRDefault="007118FE" w:rsidP="005656A6">
      <w:pPr>
        <w:pStyle w:val="ListParagraph"/>
        <w:numPr>
          <w:ilvl w:val="0"/>
          <w:numId w:val="10"/>
        </w:numPr>
        <w:spacing w:after="120" w:line="240" w:lineRule="auto"/>
        <w:jc w:val="both"/>
      </w:pPr>
      <w:r>
        <w:t>Peter.R Ebeling,Hanh H Nuguyen,Jusna Aleksova and Amanda J Vincent.Secondary Osteoporosis. Endocrine Reviews.2022;3(43):240-313.</w:t>
      </w:r>
    </w:p>
    <w:p w:rsidR="007118FE" w:rsidRDefault="007118FE" w:rsidP="005656A6">
      <w:pPr>
        <w:pStyle w:val="ListParagraph"/>
        <w:numPr>
          <w:ilvl w:val="0"/>
          <w:numId w:val="10"/>
        </w:numPr>
        <w:spacing w:after="120" w:line="240" w:lineRule="auto"/>
        <w:jc w:val="both"/>
      </w:pPr>
      <w:r>
        <w:t>Stavros C. Manolagas.Wnt signaling and osteoporosis.Maturitus.2014;3(78):233-237.</w:t>
      </w:r>
    </w:p>
    <w:p w:rsidR="007118FE" w:rsidRDefault="007118FE" w:rsidP="005656A6">
      <w:pPr>
        <w:pStyle w:val="ListParagraph"/>
        <w:numPr>
          <w:ilvl w:val="0"/>
          <w:numId w:val="10"/>
        </w:numPr>
        <w:spacing w:after="120" w:line="240" w:lineRule="auto"/>
        <w:jc w:val="both"/>
      </w:pPr>
      <w:r>
        <w:t>Tümay Sözen, Lale Özışık, Nursel Çalık Başaran.An overview and management of osteoporosis. European journal of rheumatology.2027;4(1).</w:t>
      </w:r>
    </w:p>
    <w:p w:rsidR="007118FE" w:rsidRDefault="007118FE" w:rsidP="005656A6">
      <w:pPr>
        <w:pStyle w:val="ListParagraph"/>
        <w:numPr>
          <w:ilvl w:val="0"/>
          <w:numId w:val="10"/>
        </w:numPr>
        <w:spacing w:after="120" w:line="240" w:lineRule="auto"/>
        <w:jc w:val="both"/>
      </w:pPr>
      <w:r>
        <w:t>Lawrence G.Raisz.Osteoporosis: Current approaches and future prospects in diagnosis, pathogenesis, and management. Journal of Bone and Mineral Metabolism.1999;(17):79-89.</w:t>
      </w:r>
    </w:p>
    <w:p w:rsidR="007118FE" w:rsidRDefault="007118FE" w:rsidP="005656A6">
      <w:pPr>
        <w:pStyle w:val="ListParagraph"/>
        <w:numPr>
          <w:ilvl w:val="0"/>
          <w:numId w:val="10"/>
        </w:numPr>
        <w:spacing w:after="120" w:line="240" w:lineRule="auto"/>
        <w:jc w:val="both"/>
      </w:pPr>
      <w:r>
        <w:t>Matthew B Dobs.Josseph Orthopedic Journal.1999; 19: 43–52.</w:t>
      </w:r>
    </w:p>
    <w:p w:rsidR="007118FE" w:rsidRDefault="007118FE" w:rsidP="005656A6">
      <w:pPr>
        <w:pStyle w:val="ListParagraph"/>
        <w:numPr>
          <w:ilvl w:val="0"/>
          <w:numId w:val="10"/>
        </w:numPr>
        <w:spacing w:after="120" w:line="240" w:lineRule="auto"/>
        <w:jc w:val="both"/>
      </w:pPr>
      <w:r>
        <w:t>Weaver CM, Alexander DD, Boushey CJ, et al. Calcium plus vitamin D supplementation and risk of fractures: an updated meta-analysis from the National Osteoporosis Foundation. Osteoporosis Int. 2016;27(1):367-376.</w:t>
      </w:r>
    </w:p>
    <w:p w:rsidR="007118FE" w:rsidRDefault="007118FE" w:rsidP="005656A6">
      <w:pPr>
        <w:pStyle w:val="ListParagraph"/>
        <w:numPr>
          <w:ilvl w:val="0"/>
          <w:numId w:val="10"/>
        </w:numPr>
        <w:spacing w:after="120" w:line="240" w:lineRule="auto"/>
        <w:jc w:val="both"/>
      </w:pPr>
      <w:r>
        <w:t>Manolagas.Wnt SC. Birth and death of bone cells: basic regulatory mechanisms and implications for the pathogenesis and treatment of osteoporosis. Endocr Rev. 2000;21(2):115-137.</w:t>
      </w:r>
    </w:p>
    <w:p w:rsidR="007118FE" w:rsidRDefault="007118FE" w:rsidP="005656A6">
      <w:pPr>
        <w:pStyle w:val="ListParagraph"/>
        <w:numPr>
          <w:ilvl w:val="0"/>
          <w:numId w:val="10"/>
        </w:numPr>
        <w:spacing w:after="120" w:line="240" w:lineRule="auto"/>
        <w:jc w:val="both"/>
      </w:pPr>
      <w:r>
        <w:t>Sözen T, Özışık L, Başaran NÇ. An overview and management of osteoporosis. Eur J Rheumatol. 2017;4(1):46-56</w:t>
      </w:r>
    </w:p>
    <w:p w:rsidR="007118FE" w:rsidRDefault="007118FE" w:rsidP="005656A6">
      <w:pPr>
        <w:pStyle w:val="ListParagraph"/>
        <w:numPr>
          <w:ilvl w:val="0"/>
          <w:numId w:val="10"/>
        </w:numPr>
        <w:spacing w:after="120" w:line="240" w:lineRule="auto"/>
        <w:jc w:val="both"/>
      </w:pPr>
      <w:r>
        <w:t>McCloskey EV, Oden A, Harvey NC, et al. A Meta-Analysis of Trabecular Bone Score in Fracture Risk Prediction and Its Relationship to FRAX. J Bone Miner Res. 2016;31(5):940-948</w:t>
      </w:r>
    </w:p>
    <w:p w:rsidR="007118FE" w:rsidRDefault="007118FE" w:rsidP="005656A6">
      <w:pPr>
        <w:pStyle w:val="ListParagraph"/>
        <w:numPr>
          <w:ilvl w:val="0"/>
          <w:numId w:val="10"/>
        </w:numPr>
        <w:spacing w:after="120" w:line="240" w:lineRule="auto"/>
        <w:jc w:val="both"/>
      </w:pPr>
      <w:r>
        <w:t>Kanis JA, Hans D, Cooper C, et al. Interpretation and use of FRAX in clinical practice. Osteoporosis Int. 2011;22(9):2395-2411.</w:t>
      </w:r>
    </w:p>
    <w:p w:rsidR="007118FE" w:rsidRDefault="007118FE" w:rsidP="005656A6">
      <w:pPr>
        <w:pStyle w:val="ListParagraph"/>
        <w:numPr>
          <w:ilvl w:val="0"/>
          <w:numId w:val="10"/>
        </w:numPr>
        <w:spacing w:after="120" w:line="240" w:lineRule="auto"/>
        <w:jc w:val="both"/>
      </w:pPr>
      <w:r>
        <w:t>Kribbs PJ, Chesnut CH, Ott SM, et al. Effects of raloxifene on bone density, serum cholesterol concentrations, and uterine endometrium in postmenopausal women. N Eng. J Med. 1997;337(23):1641-1647.</w:t>
      </w:r>
    </w:p>
    <w:p w:rsidR="007118FE" w:rsidRDefault="007118FE" w:rsidP="005656A6">
      <w:pPr>
        <w:pStyle w:val="ListParagraph"/>
        <w:numPr>
          <w:ilvl w:val="0"/>
          <w:numId w:val="10"/>
        </w:numPr>
        <w:spacing w:after="120" w:line="240" w:lineRule="auto"/>
        <w:jc w:val="both"/>
      </w:pPr>
      <w:r>
        <w:t>Holick MF, Binkley NC, Bischoff-Ferrari HA, et al. Evaluation, treatment, and prevention of vitamin D deficiency: an Endocrine Society clinical practice guideline. J Clin Endocrinol Metab. 2011;96(7):1911-1930.</w:t>
      </w:r>
    </w:p>
    <w:p w:rsidR="007118FE" w:rsidRPr="00F1183A" w:rsidRDefault="007118FE" w:rsidP="005656A6">
      <w:pPr>
        <w:pStyle w:val="ListParagraph"/>
        <w:numPr>
          <w:ilvl w:val="0"/>
          <w:numId w:val="10"/>
        </w:numPr>
        <w:spacing w:after="120" w:line="240" w:lineRule="auto"/>
        <w:jc w:val="both"/>
      </w:pPr>
      <w:r>
        <w:t xml:space="preserve">Cosman, F., de Beur, S. J., LeBoff, M. S., Lewiecki, E. M., Tanner, B., Randall, S and Watts, N. B. (2014). Clinician’s Guide to Prevention and Treatment of Osteoporosis. </w:t>
      </w:r>
      <w:r>
        <w:lastRenderedPageBreak/>
        <w:t>Osteoporosis International, 25(10), 2359-2381.</w:t>
      </w:r>
    </w:p>
    <w:p w:rsidR="002A5664" w:rsidRPr="00F1183A" w:rsidRDefault="002A5664" w:rsidP="000E0BD4">
      <w:pPr>
        <w:spacing w:after="120" w:line="240" w:lineRule="auto"/>
        <w:ind w:left="360"/>
        <w:jc w:val="both"/>
      </w:pPr>
    </w:p>
    <w:sectPr w:rsidR="002A5664" w:rsidRPr="00F1183A" w:rsidSect="002734C2">
      <w:type w:val="continuous"/>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C5628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F4D86"/>
    <w:multiLevelType w:val="hybridMultilevel"/>
    <w:tmpl w:val="AA1C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396B"/>
    <w:multiLevelType w:val="hybridMultilevel"/>
    <w:tmpl w:val="C2E210F6"/>
    <w:lvl w:ilvl="0" w:tplc="FFFFFFFF">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11AB0A66"/>
    <w:multiLevelType w:val="hybridMultilevel"/>
    <w:tmpl w:val="3DD69B24"/>
    <w:lvl w:ilvl="0" w:tplc="D3C85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D4B8E"/>
    <w:multiLevelType w:val="hybridMultilevel"/>
    <w:tmpl w:val="B3F6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C10F2"/>
    <w:multiLevelType w:val="hybridMultilevel"/>
    <w:tmpl w:val="74FA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97E40"/>
    <w:multiLevelType w:val="hybridMultilevel"/>
    <w:tmpl w:val="5268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97ED6"/>
    <w:multiLevelType w:val="hybridMultilevel"/>
    <w:tmpl w:val="3228B644"/>
    <w:lvl w:ilvl="0" w:tplc="FFFFFFFF">
      <w:numFmt w:val="bullet"/>
      <w:lvlText w:val="•"/>
      <w:lvlJc w:val="left"/>
      <w:pPr>
        <w:ind w:left="720" w:hanging="360"/>
      </w:pPr>
      <w:rPr>
        <w:rFonts w:ascii="Calibri" w:eastAsia="SimSun"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51DC2"/>
    <w:multiLevelType w:val="hybridMultilevel"/>
    <w:tmpl w:val="4EC08044"/>
    <w:lvl w:ilvl="0" w:tplc="FFFFFFFF">
      <w:start w:val="2"/>
      <w:numFmt w:val="bullet"/>
      <w:lvlText w:val="•"/>
      <w:lvlJc w:val="left"/>
      <w:pPr>
        <w:ind w:left="720" w:hanging="360"/>
      </w:pPr>
      <w:rPr>
        <w:rFonts w:ascii="Calibri" w:eastAsia="SimSun"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468B2"/>
    <w:multiLevelType w:val="hybridMultilevel"/>
    <w:tmpl w:val="8A64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319604">
    <w:abstractNumId w:val="0"/>
  </w:num>
  <w:num w:numId="2" w16cid:durableId="776144178">
    <w:abstractNumId w:val="2"/>
  </w:num>
  <w:num w:numId="3" w16cid:durableId="1233615203">
    <w:abstractNumId w:val="8"/>
  </w:num>
  <w:num w:numId="4" w16cid:durableId="357396912">
    <w:abstractNumId w:val="4"/>
  </w:num>
  <w:num w:numId="5" w16cid:durableId="2060399720">
    <w:abstractNumId w:val="5"/>
  </w:num>
  <w:num w:numId="6" w16cid:durableId="1866944166">
    <w:abstractNumId w:val="7"/>
  </w:num>
  <w:num w:numId="7" w16cid:durableId="1148284615">
    <w:abstractNumId w:val="6"/>
  </w:num>
  <w:num w:numId="8" w16cid:durableId="1289243949">
    <w:abstractNumId w:val="3"/>
  </w:num>
  <w:num w:numId="9" w16cid:durableId="521936226">
    <w:abstractNumId w:val="9"/>
  </w:num>
  <w:num w:numId="10" w16cid:durableId="69504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C21"/>
    <w:rsid w:val="00001B10"/>
    <w:rsid w:val="00010872"/>
    <w:rsid w:val="000616BC"/>
    <w:rsid w:val="00091FC3"/>
    <w:rsid w:val="000E0BD4"/>
    <w:rsid w:val="000F79FB"/>
    <w:rsid w:val="001361F1"/>
    <w:rsid w:val="001B19F7"/>
    <w:rsid w:val="001C2502"/>
    <w:rsid w:val="001D72D9"/>
    <w:rsid w:val="001E3507"/>
    <w:rsid w:val="001F5B2E"/>
    <w:rsid w:val="00215889"/>
    <w:rsid w:val="0023493F"/>
    <w:rsid w:val="002734C2"/>
    <w:rsid w:val="00284E77"/>
    <w:rsid w:val="002912A1"/>
    <w:rsid w:val="002A4342"/>
    <w:rsid w:val="002A5664"/>
    <w:rsid w:val="002C578B"/>
    <w:rsid w:val="002C6A4E"/>
    <w:rsid w:val="0030308F"/>
    <w:rsid w:val="00303864"/>
    <w:rsid w:val="0034511A"/>
    <w:rsid w:val="003822FA"/>
    <w:rsid w:val="003918CF"/>
    <w:rsid w:val="003A27E6"/>
    <w:rsid w:val="003E60BF"/>
    <w:rsid w:val="00440B3F"/>
    <w:rsid w:val="004644AE"/>
    <w:rsid w:val="00476509"/>
    <w:rsid w:val="0048166B"/>
    <w:rsid w:val="00484BCF"/>
    <w:rsid w:val="0049082B"/>
    <w:rsid w:val="00496271"/>
    <w:rsid w:val="004A0C7A"/>
    <w:rsid w:val="004D0E2A"/>
    <w:rsid w:val="004D2D65"/>
    <w:rsid w:val="004F4A65"/>
    <w:rsid w:val="00505A39"/>
    <w:rsid w:val="0053117E"/>
    <w:rsid w:val="00540BAA"/>
    <w:rsid w:val="00541C21"/>
    <w:rsid w:val="0054758A"/>
    <w:rsid w:val="005656A6"/>
    <w:rsid w:val="00573713"/>
    <w:rsid w:val="005946F7"/>
    <w:rsid w:val="005A0D22"/>
    <w:rsid w:val="005B6EBC"/>
    <w:rsid w:val="0060190A"/>
    <w:rsid w:val="00606552"/>
    <w:rsid w:val="00610F86"/>
    <w:rsid w:val="006662F5"/>
    <w:rsid w:val="00667841"/>
    <w:rsid w:val="006C5CC4"/>
    <w:rsid w:val="006E1CE8"/>
    <w:rsid w:val="00701F5D"/>
    <w:rsid w:val="00705A64"/>
    <w:rsid w:val="007118FE"/>
    <w:rsid w:val="00745D7B"/>
    <w:rsid w:val="00791654"/>
    <w:rsid w:val="00805C1C"/>
    <w:rsid w:val="00836410"/>
    <w:rsid w:val="00891F50"/>
    <w:rsid w:val="00893D8C"/>
    <w:rsid w:val="008A32FF"/>
    <w:rsid w:val="008C1F58"/>
    <w:rsid w:val="008D4D3B"/>
    <w:rsid w:val="008E70E1"/>
    <w:rsid w:val="0090696E"/>
    <w:rsid w:val="00907BE1"/>
    <w:rsid w:val="009219C7"/>
    <w:rsid w:val="00946482"/>
    <w:rsid w:val="009511F2"/>
    <w:rsid w:val="00955674"/>
    <w:rsid w:val="00981916"/>
    <w:rsid w:val="009E148C"/>
    <w:rsid w:val="009E7B52"/>
    <w:rsid w:val="00A22D66"/>
    <w:rsid w:val="00A913D4"/>
    <w:rsid w:val="00B23291"/>
    <w:rsid w:val="00B24607"/>
    <w:rsid w:val="00B30496"/>
    <w:rsid w:val="00B53692"/>
    <w:rsid w:val="00B62A19"/>
    <w:rsid w:val="00B701D3"/>
    <w:rsid w:val="00B81137"/>
    <w:rsid w:val="00BB5A22"/>
    <w:rsid w:val="00C37D22"/>
    <w:rsid w:val="00C736CF"/>
    <w:rsid w:val="00C94F2E"/>
    <w:rsid w:val="00CA77B5"/>
    <w:rsid w:val="00CB5731"/>
    <w:rsid w:val="00CD37E1"/>
    <w:rsid w:val="00CD3B10"/>
    <w:rsid w:val="00CE0475"/>
    <w:rsid w:val="00CF2D81"/>
    <w:rsid w:val="00D258CB"/>
    <w:rsid w:val="00D31198"/>
    <w:rsid w:val="00D56C6E"/>
    <w:rsid w:val="00D82CC1"/>
    <w:rsid w:val="00DD1B35"/>
    <w:rsid w:val="00DE7C83"/>
    <w:rsid w:val="00DF21CF"/>
    <w:rsid w:val="00E013A2"/>
    <w:rsid w:val="00E11D18"/>
    <w:rsid w:val="00E409A5"/>
    <w:rsid w:val="00E70C43"/>
    <w:rsid w:val="00F1183A"/>
    <w:rsid w:val="00F12E26"/>
    <w:rsid w:val="00F22DE5"/>
    <w:rsid w:val="00F2398F"/>
    <w:rsid w:val="00F4132C"/>
    <w:rsid w:val="00F53283"/>
    <w:rsid w:val="00F556C0"/>
    <w:rsid w:val="00F67D2B"/>
    <w:rsid w:val="00F844EE"/>
    <w:rsid w:val="00F85C53"/>
    <w:rsid w:val="00FA7487"/>
    <w:rsid w:val="00FC1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899A"/>
  <w15:docId w15:val="{C3869933-0FA6-D246-9F1D-2128C4A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0"/>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8357B-9993-49E5-A59E-B5B9DE27C93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923415613242</dc:creator>
  <cp:lastModifiedBy>923415613242</cp:lastModifiedBy>
  <cp:revision>17</cp:revision>
  <dcterms:created xsi:type="dcterms:W3CDTF">2023-06-18T13:19:00Z</dcterms:created>
  <dcterms:modified xsi:type="dcterms:W3CDTF">2023-06-21T16:36:00Z</dcterms:modified>
</cp:coreProperties>
</file>