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2B94" w:rsidRDefault="00C31775" w:rsidP="00F13AD2">
      <w:pPr>
        <w:pStyle w:val="Default"/>
        <w:spacing w:afterLines="100" w:after="240"/>
        <w:ind w:left="1440"/>
        <w:jc w:val="center"/>
        <w:rPr>
          <w:rStyle w:val="Emphasis"/>
          <w:b/>
          <w:bCs/>
          <w:i w:val="0"/>
          <w:iCs w:val="0"/>
          <w:color w:val="5F6368"/>
          <w:sz w:val="28"/>
          <w:szCs w:val="28"/>
          <w:shd w:val="clear" w:color="auto" w:fill="FFFFFF"/>
        </w:rPr>
      </w:pPr>
      <w:r>
        <w:rPr>
          <w:b/>
          <w:bCs/>
          <w:sz w:val="28"/>
        </w:rPr>
        <w:t>Study of e</w:t>
      </w:r>
      <w:r w:rsidR="00212B94" w:rsidRPr="00292C3C">
        <w:rPr>
          <w:b/>
          <w:bCs/>
          <w:sz w:val="28"/>
        </w:rPr>
        <w:t xml:space="preserve">ffects of an organophosphorus pesticide, malathion (50% EC) on the freshwater fish, </w:t>
      </w:r>
      <w:bookmarkStart w:id="0" w:name="_Hlk137121870"/>
      <w:r w:rsidR="007B0D83">
        <w:rPr>
          <w:b/>
          <w:bCs/>
          <w:sz w:val="28"/>
          <w:szCs w:val="28"/>
        </w:rPr>
        <w:t>Cirrhi</w:t>
      </w:r>
      <w:r w:rsidR="007B0D83">
        <w:rPr>
          <w:b/>
          <w:bCs/>
          <w:sz w:val="28"/>
        </w:rPr>
        <w:t>nus Cirrhosus</w:t>
      </w:r>
      <w:bookmarkEnd w:id="0"/>
      <w:r w:rsidR="007B0D83">
        <w:rPr>
          <w:b/>
          <w:bCs/>
          <w:sz w:val="28"/>
        </w:rPr>
        <w:t>(Mrigal)</w:t>
      </w:r>
    </w:p>
    <w:p w:rsidR="007B0D83" w:rsidRPr="00292C3C" w:rsidRDefault="007B0D83" w:rsidP="00F13AD2">
      <w:pPr>
        <w:pStyle w:val="Default"/>
        <w:spacing w:afterLines="100" w:after="240"/>
        <w:ind w:left="1440"/>
        <w:jc w:val="center"/>
        <w:rPr>
          <w:sz w:val="28"/>
        </w:rPr>
      </w:pPr>
    </w:p>
    <w:p w:rsidR="00212B94" w:rsidRPr="00935924" w:rsidRDefault="00F13AD2" w:rsidP="00F13AD2">
      <w:pPr>
        <w:pStyle w:val="Default"/>
        <w:spacing w:afterLines="100" w:after="240"/>
        <w:jc w:val="center"/>
      </w:pPr>
      <w:r>
        <w:rPr>
          <w:b/>
          <w:bCs/>
        </w:rPr>
        <w:t xml:space="preserve">Dr. </w:t>
      </w:r>
      <w:proofErr w:type="gramStart"/>
      <w:r>
        <w:rPr>
          <w:b/>
          <w:bCs/>
        </w:rPr>
        <w:t>S .</w:t>
      </w:r>
      <w:proofErr w:type="gramEnd"/>
      <w:r>
        <w:rPr>
          <w:b/>
          <w:bCs/>
        </w:rPr>
        <w:t xml:space="preserve"> </w:t>
      </w:r>
      <w:proofErr w:type="gramStart"/>
      <w:r>
        <w:rPr>
          <w:b/>
          <w:bCs/>
        </w:rPr>
        <w:t>R .</w:t>
      </w:r>
      <w:proofErr w:type="gramEnd"/>
      <w:r>
        <w:rPr>
          <w:b/>
          <w:bCs/>
        </w:rPr>
        <w:t xml:space="preserve"> Shaikh</w:t>
      </w:r>
    </w:p>
    <w:p w:rsidR="00935924" w:rsidRPr="00935924" w:rsidRDefault="00935924" w:rsidP="00292C3C">
      <w:pPr>
        <w:pStyle w:val="Default"/>
        <w:jc w:val="both"/>
        <w:rPr>
          <w:b/>
          <w:bCs/>
        </w:rPr>
      </w:pPr>
    </w:p>
    <w:p w:rsidR="00212B94" w:rsidRPr="00935924" w:rsidRDefault="00212B94" w:rsidP="008F43FE">
      <w:pPr>
        <w:pStyle w:val="Default"/>
        <w:spacing w:afterLines="100" w:after="240"/>
        <w:jc w:val="both"/>
      </w:pPr>
      <w:r w:rsidRPr="00935924">
        <w:rPr>
          <w:b/>
          <w:bCs/>
        </w:rPr>
        <w:t xml:space="preserve">Abstract </w:t>
      </w:r>
    </w:p>
    <w:p w:rsidR="001E16FA" w:rsidRPr="00935924" w:rsidRDefault="00935924" w:rsidP="008F43FE">
      <w:pPr>
        <w:spacing w:afterLines="100" w:after="240"/>
        <w:jc w:val="both"/>
        <w:rPr>
          <w:rFonts w:ascii="Times New Roman" w:hAnsi="Times New Roman" w:cs="Times New Roman"/>
          <w:sz w:val="24"/>
          <w:szCs w:val="24"/>
        </w:rPr>
      </w:pPr>
      <w:r w:rsidRPr="00935924">
        <w:rPr>
          <w:rFonts w:ascii="Times New Roman" w:hAnsi="Times New Roman" w:cs="Times New Roman"/>
          <w:sz w:val="24"/>
          <w:szCs w:val="24"/>
        </w:rPr>
        <w:t xml:space="preserve"> </w:t>
      </w:r>
      <w:r w:rsidRPr="00935924">
        <w:rPr>
          <w:rFonts w:ascii="Times New Roman" w:hAnsi="Times New Roman" w:cs="Times New Roman"/>
          <w:sz w:val="24"/>
          <w:szCs w:val="24"/>
        </w:rPr>
        <w:tab/>
      </w:r>
      <w:r w:rsidR="00212B94" w:rsidRPr="00935924">
        <w:rPr>
          <w:rFonts w:ascii="Times New Roman" w:hAnsi="Times New Roman" w:cs="Times New Roman"/>
          <w:sz w:val="24"/>
          <w:szCs w:val="24"/>
        </w:rPr>
        <w:t xml:space="preserve">Malathion is a wide spectrum aliphatic organophosphorus pesticide commonly used for agricultural purposes. In the present study, an attempt was made to study the acute toxic effects of malathion in the adult freshwater </w:t>
      </w:r>
      <w:proofErr w:type="gramStart"/>
      <w:r w:rsidR="00212B94" w:rsidRPr="00935924">
        <w:rPr>
          <w:rFonts w:ascii="Times New Roman" w:hAnsi="Times New Roman" w:cs="Times New Roman"/>
          <w:sz w:val="24"/>
          <w:szCs w:val="24"/>
        </w:rPr>
        <w:t>fish,</w:t>
      </w:r>
      <w:r w:rsidR="007B0D83">
        <w:rPr>
          <w:rFonts w:ascii="Times New Roman" w:hAnsi="Times New Roman" w:cs="Times New Roman"/>
          <w:sz w:val="24"/>
          <w:szCs w:val="24"/>
        </w:rPr>
        <w:t>Mrigal</w:t>
      </w:r>
      <w:proofErr w:type="gramEnd"/>
      <w:r w:rsidR="00212B94" w:rsidRPr="00935924">
        <w:rPr>
          <w:rFonts w:ascii="Times New Roman" w:hAnsi="Times New Roman" w:cs="Times New Roman"/>
          <w:i/>
          <w:iCs/>
          <w:sz w:val="24"/>
          <w:szCs w:val="24"/>
        </w:rPr>
        <w:t xml:space="preserve">. </w:t>
      </w:r>
      <w:r w:rsidR="00212B94" w:rsidRPr="00935924">
        <w:rPr>
          <w:rFonts w:ascii="Times New Roman" w:hAnsi="Times New Roman" w:cs="Times New Roman"/>
          <w:sz w:val="24"/>
          <w:szCs w:val="24"/>
        </w:rPr>
        <w:t>The median lethal concentration or LC50-96 h was determined by exposing the fish to s</w:t>
      </w:r>
      <w:r w:rsidR="00EC0CF3">
        <w:rPr>
          <w:rFonts w:ascii="Times New Roman" w:hAnsi="Times New Roman" w:cs="Times New Roman"/>
          <w:sz w:val="24"/>
          <w:szCs w:val="24"/>
        </w:rPr>
        <w:t>ix</w:t>
      </w:r>
      <w:r w:rsidR="00212B94" w:rsidRPr="00935924">
        <w:rPr>
          <w:rFonts w:ascii="Times New Roman" w:hAnsi="Times New Roman" w:cs="Times New Roman"/>
          <w:sz w:val="24"/>
          <w:szCs w:val="24"/>
        </w:rPr>
        <w:t xml:space="preserve"> different concentrations of malathion i.e., 0.25, 0.50, 0.75, 1.00, 1.25, 1.50 μg/ L concentrations for 96 h along with the control group, without toxicant. The weight of the animals was recorded before and after exposing to the pesticide, which showed no significant changes after the treatment period. Behavioural modifications of the fish such as frequent surfacing and air engul</w:t>
      </w:r>
      <w:r w:rsidR="00F13AD2">
        <w:rPr>
          <w:rFonts w:ascii="Times New Roman" w:hAnsi="Times New Roman" w:cs="Times New Roman"/>
          <w:sz w:val="24"/>
          <w:szCs w:val="24"/>
        </w:rPr>
        <w:t>f</w:t>
      </w:r>
      <w:r w:rsidR="00212B94" w:rsidRPr="00935924">
        <w:rPr>
          <w:rFonts w:ascii="Times New Roman" w:hAnsi="Times New Roman" w:cs="Times New Roman"/>
          <w:sz w:val="24"/>
          <w:szCs w:val="24"/>
        </w:rPr>
        <w:t xml:space="preserve">ing, irregular erratic swimming, aggressiveness, rapid opercular lifting along with slight haemorrhage and mucous deposition throughout the body were noticed. The study proved that an increase in the malathion concentration for 96 h caused increase in the rate of mortality in which 50% mortality occurred at 0.5 μg/ L concentration, which was taken as the median lethal concentration or LC50-96 h. The data obtained was subjected to Probit analysis at 95% confidence limit also proved 0.5 μg/ L concentration as 96 h-LC50 value of malathion in the fish, </w:t>
      </w:r>
      <w:r w:rsidR="007B0D83">
        <w:rPr>
          <w:rFonts w:ascii="Times New Roman" w:hAnsi="Times New Roman" w:cs="Times New Roman"/>
          <w:i/>
          <w:iCs/>
          <w:sz w:val="24"/>
          <w:szCs w:val="24"/>
        </w:rPr>
        <w:t>Mrigal</w:t>
      </w:r>
      <w:r w:rsidR="00212B94" w:rsidRPr="00935924">
        <w:rPr>
          <w:rFonts w:ascii="Times New Roman" w:hAnsi="Times New Roman" w:cs="Times New Roman"/>
          <w:sz w:val="24"/>
          <w:szCs w:val="24"/>
        </w:rPr>
        <w:t>.</w:t>
      </w:r>
    </w:p>
    <w:p w:rsidR="00212B94" w:rsidRPr="00935924" w:rsidRDefault="00212B94" w:rsidP="00292C3C">
      <w:pPr>
        <w:pStyle w:val="Default"/>
        <w:jc w:val="both"/>
      </w:pPr>
    </w:p>
    <w:p w:rsidR="00212B94" w:rsidRDefault="00212B94" w:rsidP="008F43FE">
      <w:pPr>
        <w:pStyle w:val="Default"/>
        <w:spacing w:afterLines="100" w:after="240"/>
        <w:jc w:val="both"/>
        <w:rPr>
          <w:i/>
          <w:iCs/>
        </w:rPr>
      </w:pPr>
      <w:r w:rsidRPr="00935924">
        <w:rPr>
          <w:b/>
          <w:bCs/>
        </w:rPr>
        <w:t xml:space="preserve">Keywords: </w:t>
      </w:r>
      <w:r w:rsidRPr="00935924">
        <w:t xml:space="preserve">Malathion, mortality, behaviour, </w:t>
      </w:r>
      <w:r w:rsidR="009F4966">
        <w:rPr>
          <w:i/>
          <w:iCs/>
        </w:rPr>
        <w:t>Mrigal.</w:t>
      </w:r>
      <w:r w:rsidRPr="00935924">
        <w:rPr>
          <w:i/>
          <w:iCs/>
        </w:rPr>
        <w:t xml:space="preserve"> </w:t>
      </w:r>
    </w:p>
    <w:p w:rsidR="008F43FE" w:rsidRPr="00935924" w:rsidRDefault="008F43FE" w:rsidP="00292C3C">
      <w:pPr>
        <w:pStyle w:val="Default"/>
        <w:jc w:val="both"/>
      </w:pPr>
    </w:p>
    <w:p w:rsidR="00212B94" w:rsidRPr="00935924" w:rsidRDefault="00212B94" w:rsidP="008F43FE">
      <w:pPr>
        <w:pStyle w:val="Default"/>
        <w:spacing w:afterLines="100" w:after="240"/>
        <w:jc w:val="both"/>
      </w:pPr>
      <w:r w:rsidRPr="00935924">
        <w:rPr>
          <w:b/>
          <w:bCs/>
        </w:rPr>
        <w:t xml:space="preserve">1. Introduction </w:t>
      </w:r>
    </w:p>
    <w:p w:rsidR="00212B94" w:rsidRPr="00935924" w:rsidRDefault="008F43FE" w:rsidP="008F43FE">
      <w:pPr>
        <w:pStyle w:val="Default"/>
        <w:spacing w:afterLines="100" w:after="240"/>
        <w:jc w:val="both"/>
      </w:pPr>
      <w:r>
        <w:t xml:space="preserve"> </w:t>
      </w:r>
      <w:r>
        <w:tab/>
      </w:r>
      <w:r w:rsidR="00212B94" w:rsidRPr="00935924">
        <w:t xml:space="preserve">Aquatic ecosystems, both freshwater and marine, are continuously exposed to different types of toxic chemicals and wastes. Some pollutants are directly discharged into the water bodies, which forms the point source pollution whereas some are leached from many miscellaneous sources such as rainwater runoff, untreated sewage effluents, agricultural products etc referred as non-point source pollution [1]. The use of pesticides to control terrestrial pests in agriculture and forestry are known to contaminate water bodies thereby affect flora and fauna of the aquatic ecosystems. Pesticides either directly enter into the aquatic organisms like fish due to the lipophilic properties or enter into zooplanktons which finally get accumulated in the tissues of animals through the food chain. </w:t>
      </w:r>
      <w:proofErr w:type="gramStart"/>
      <w:r w:rsidR="00212B94" w:rsidRPr="00935924">
        <w:t>Thus</w:t>
      </w:r>
      <w:proofErr w:type="gramEnd"/>
      <w:r w:rsidR="00212B94" w:rsidRPr="00935924">
        <w:t xml:space="preserve"> fish are more susceptible to the environmental changes yet they have the ability to adapt themselves when exposed to the low concentration of pollutants [2]. However, prolonged exposure to low concentration or exposure at high concentrations of toxicants for short period may prove to be fatal. </w:t>
      </w:r>
    </w:p>
    <w:p w:rsidR="00212B94" w:rsidRPr="00935924" w:rsidRDefault="008F43FE" w:rsidP="008F43FE">
      <w:pPr>
        <w:spacing w:afterLines="100" w:after="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12B94" w:rsidRPr="00935924">
        <w:rPr>
          <w:rFonts w:ascii="Times New Roman" w:hAnsi="Times New Roman" w:cs="Times New Roman"/>
          <w:sz w:val="24"/>
          <w:szCs w:val="24"/>
        </w:rPr>
        <w:t xml:space="preserve">Malathion is a broad-spectrum, non-systemic general-purpose insecticide used to control sucking and chewing insects on fruits and vegetables. It is also used to control flies and mosquitoes, and sometimes directly used on fish to eliminate parasites [3]. Malathion is also </w:t>
      </w:r>
      <w:r w:rsidR="00212B94" w:rsidRPr="00935924">
        <w:rPr>
          <w:rFonts w:ascii="Times New Roman" w:hAnsi="Times New Roman" w:cs="Times New Roman"/>
          <w:sz w:val="24"/>
          <w:szCs w:val="24"/>
        </w:rPr>
        <w:lastRenderedPageBreak/>
        <w:t xml:space="preserve">used as an ingredient in shampoo products to eradicate head lice. </w:t>
      </w:r>
      <w:proofErr w:type="gramStart"/>
      <w:r w:rsidR="00212B94" w:rsidRPr="00935924">
        <w:rPr>
          <w:rFonts w:ascii="Times New Roman" w:hAnsi="Times New Roman" w:cs="Times New Roman"/>
          <w:sz w:val="24"/>
          <w:szCs w:val="24"/>
        </w:rPr>
        <w:t>Thus</w:t>
      </w:r>
      <w:proofErr w:type="gramEnd"/>
      <w:r w:rsidR="00212B94" w:rsidRPr="00935924">
        <w:rPr>
          <w:rFonts w:ascii="Times New Roman" w:hAnsi="Times New Roman" w:cs="Times New Roman"/>
          <w:sz w:val="24"/>
          <w:szCs w:val="24"/>
        </w:rPr>
        <w:t xml:space="preserve"> the occurrence of malathion was wide including soil, sediments, and also detected in ground and surface water [4] with half-life ranging from 2 to 18 d [5]. Toxic effects of any pollutants can be evaluated by employing several parameters including biochemical, physiological, endocrine and reproductive effects on the test species. Meanwhile quantitative parameters such as percentage of mortality against the test concentrations are used as a sensitive measure to determine acute toxicity of the chemicals. Several studies have reported the median lethal concentration of malathion in different fish species with LC50 value ranging from 0.592 ppb in </w:t>
      </w:r>
      <w:r w:rsidR="001B5AC4">
        <w:rPr>
          <w:rFonts w:ascii="Times New Roman" w:hAnsi="Times New Roman" w:cs="Times New Roman"/>
          <w:i/>
          <w:iCs/>
          <w:sz w:val="24"/>
          <w:szCs w:val="24"/>
        </w:rPr>
        <w:t>catla</w:t>
      </w:r>
      <w:r w:rsidR="00212B94" w:rsidRPr="00935924">
        <w:rPr>
          <w:rFonts w:ascii="Times New Roman" w:hAnsi="Times New Roman" w:cs="Times New Roman"/>
          <w:i/>
          <w:iCs/>
          <w:sz w:val="24"/>
          <w:szCs w:val="24"/>
        </w:rPr>
        <w:t xml:space="preserve"> </w:t>
      </w:r>
      <w:r w:rsidR="00212B94" w:rsidRPr="00935924">
        <w:rPr>
          <w:rFonts w:ascii="Times New Roman" w:hAnsi="Times New Roman" w:cs="Times New Roman"/>
          <w:sz w:val="24"/>
          <w:szCs w:val="24"/>
        </w:rPr>
        <w:t xml:space="preserve">[6], 101 ppb in Brown trout [7], 0.25 ppm in </w:t>
      </w:r>
      <w:r w:rsidR="00212B94" w:rsidRPr="00935924">
        <w:rPr>
          <w:rFonts w:ascii="Times New Roman" w:hAnsi="Times New Roman" w:cs="Times New Roman"/>
          <w:i/>
          <w:iCs/>
          <w:sz w:val="24"/>
          <w:szCs w:val="24"/>
        </w:rPr>
        <w:t xml:space="preserve">Clarias batrachus </w:t>
      </w:r>
      <w:r w:rsidR="00212B94" w:rsidRPr="00935924">
        <w:rPr>
          <w:rFonts w:ascii="Times New Roman" w:hAnsi="Times New Roman" w:cs="Times New Roman"/>
          <w:sz w:val="24"/>
          <w:szCs w:val="24"/>
        </w:rPr>
        <w:t xml:space="preserve">[8], 8.22 ppm in </w:t>
      </w:r>
      <w:r w:rsidR="00212B94" w:rsidRPr="00935924">
        <w:rPr>
          <w:rFonts w:ascii="Times New Roman" w:hAnsi="Times New Roman" w:cs="Times New Roman"/>
          <w:i/>
          <w:iCs/>
          <w:sz w:val="24"/>
          <w:szCs w:val="24"/>
        </w:rPr>
        <w:t xml:space="preserve">Clarias gariepinus </w:t>
      </w:r>
      <w:r w:rsidR="00212B94" w:rsidRPr="00935924">
        <w:rPr>
          <w:rFonts w:ascii="Times New Roman" w:hAnsi="Times New Roman" w:cs="Times New Roman"/>
          <w:sz w:val="24"/>
          <w:szCs w:val="24"/>
        </w:rPr>
        <w:t xml:space="preserve">[9], 5 μg/ L in </w:t>
      </w:r>
      <w:r w:rsidR="00212B94" w:rsidRPr="00935924">
        <w:rPr>
          <w:rFonts w:ascii="Times New Roman" w:hAnsi="Times New Roman" w:cs="Times New Roman"/>
          <w:i/>
          <w:iCs/>
          <w:sz w:val="24"/>
          <w:szCs w:val="24"/>
        </w:rPr>
        <w:t xml:space="preserve">Labeo rohita </w:t>
      </w:r>
      <w:r w:rsidR="00212B94" w:rsidRPr="00935924">
        <w:rPr>
          <w:rFonts w:ascii="Times New Roman" w:hAnsi="Times New Roman" w:cs="Times New Roman"/>
          <w:sz w:val="24"/>
          <w:szCs w:val="24"/>
        </w:rPr>
        <w:t xml:space="preserve">[10] and 16 μg/ L in </w:t>
      </w:r>
      <w:r w:rsidR="00212B94" w:rsidRPr="00935924">
        <w:rPr>
          <w:rFonts w:ascii="Times New Roman" w:hAnsi="Times New Roman" w:cs="Times New Roman"/>
          <w:i/>
          <w:iCs/>
          <w:sz w:val="24"/>
          <w:szCs w:val="24"/>
        </w:rPr>
        <w:t xml:space="preserve">Ophiocephalus punctatus </w:t>
      </w:r>
      <w:r w:rsidR="00212B94" w:rsidRPr="00935924">
        <w:rPr>
          <w:rFonts w:ascii="Times New Roman" w:hAnsi="Times New Roman" w:cs="Times New Roman"/>
          <w:sz w:val="24"/>
          <w:szCs w:val="24"/>
        </w:rPr>
        <w:t>[11] when exposed for 96 h.</w:t>
      </w:r>
    </w:p>
    <w:p w:rsidR="00212B94" w:rsidRPr="00935924" w:rsidRDefault="008F43FE" w:rsidP="008F43FE">
      <w:pPr>
        <w:spacing w:afterLines="100" w:after="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12B94" w:rsidRPr="00935924">
        <w:rPr>
          <w:rFonts w:ascii="Times New Roman" w:hAnsi="Times New Roman" w:cs="Times New Roman"/>
          <w:sz w:val="24"/>
          <w:szCs w:val="24"/>
        </w:rPr>
        <w:t xml:space="preserve">All laboratory bioassays used malathion as the single test substance exposed to single test species at specific period of time, particularly for 96 h. But the available data revealed that the acute toxicity or median lethal concentration of malathion varies among the fish species. </w:t>
      </w:r>
      <w:proofErr w:type="gramStart"/>
      <w:r w:rsidR="00212B94" w:rsidRPr="00935924">
        <w:rPr>
          <w:rFonts w:ascii="Times New Roman" w:hAnsi="Times New Roman" w:cs="Times New Roman"/>
          <w:sz w:val="24"/>
          <w:szCs w:val="24"/>
        </w:rPr>
        <w:t>Thus</w:t>
      </w:r>
      <w:proofErr w:type="gramEnd"/>
      <w:r w:rsidR="00212B94" w:rsidRPr="00935924">
        <w:rPr>
          <w:rFonts w:ascii="Times New Roman" w:hAnsi="Times New Roman" w:cs="Times New Roman"/>
          <w:sz w:val="24"/>
          <w:szCs w:val="24"/>
        </w:rPr>
        <w:t xml:space="preserve"> an attempt was made to determine the lethal toxicity of malathion in the adult freshwater fish, </w:t>
      </w:r>
      <w:r w:rsidR="00593EBD">
        <w:rPr>
          <w:rFonts w:ascii="Times New Roman" w:hAnsi="Times New Roman" w:cs="Times New Roman"/>
          <w:i/>
          <w:iCs/>
          <w:sz w:val="24"/>
          <w:szCs w:val="24"/>
        </w:rPr>
        <w:t>Mrigal</w:t>
      </w:r>
      <w:r w:rsidR="00212B94" w:rsidRPr="00935924">
        <w:rPr>
          <w:rFonts w:ascii="Times New Roman" w:hAnsi="Times New Roman" w:cs="Times New Roman"/>
          <w:i/>
          <w:iCs/>
          <w:sz w:val="24"/>
          <w:szCs w:val="24"/>
        </w:rPr>
        <w:t xml:space="preserve"> </w:t>
      </w:r>
      <w:r w:rsidR="00212B94" w:rsidRPr="00935924">
        <w:rPr>
          <w:rFonts w:ascii="Times New Roman" w:hAnsi="Times New Roman" w:cs="Times New Roman"/>
          <w:sz w:val="24"/>
          <w:szCs w:val="24"/>
        </w:rPr>
        <w:t>using standard procedure prescribed under OECD guidelines to assess change in 96 h-LC50 value, along with behavioural modifications during the treatment period.</w:t>
      </w:r>
    </w:p>
    <w:p w:rsidR="00212B94" w:rsidRPr="00935924" w:rsidRDefault="00212B94" w:rsidP="00292C3C">
      <w:pPr>
        <w:autoSpaceDE w:val="0"/>
        <w:autoSpaceDN w:val="0"/>
        <w:adjustRightInd w:val="0"/>
        <w:spacing w:after="0" w:line="240" w:lineRule="auto"/>
        <w:jc w:val="both"/>
        <w:rPr>
          <w:rFonts w:ascii="Times New Roman" w:hAnsi="Times New Roman" w:cs="Times New Roman"/>
          <w:sz w:val="24"/>
          <w:szCs w:val="24"/>
        </w:rPr>
      </w:pPr>
    </w:p>
    <w:p w:rsidR="00212B94" w:rsidRPr="00935924" w:rsidRDefault="00212B94" w:rsidP="008F43FE">
      <w:pPr>
        <w:pStyle w:val="Default"/>
        <w:spacing w:afterLines="100" w:after="240"/>
        <w:jc w:val="both"/>
      </w:pPr>
      <w:r w:rsidRPr="00935924">
        <w:rPr>
          <w:b/>
          <w:bCs/>
        </w:rPr>
        <w:t xml:space="preserve">2.2 Test animal </w:t>
      </w:r>
    </w:p>
    <w:p w:rsidR="00212B94" w:rsidRPr="00935924" w:rsidRDefault="008F43FE" w:rsidP="008F43FE">
      <w:pPr>
        <w:pStyle w:val="Default"/>
        <w:spacing w:afterLines="100" w:after="240"/>
        <w:jc w:val="both"/>
      </w:pPr>
      <w:r>
        <w:t xml:space="preserve"> </w:t>
      </w:r>
      <w:r>
        <w:tab/>
      </w:r>
      <w:r w:rsidR="00212B94" w:rsidRPr="00935924">
        <w:t xml:space="preserve">Adult freshwater fish, </w:t>
      </w:r>
      <w:r w:rsidR="00940423">
        <w:rPr>
          <w:i/>
          <w:iCs/>
        </w:rPr>
        <w:t>Mrigal</w:t>
      </w:r>
      <w:r w:rsidR="00212B94" w:rsidRPr="00935924">
        <w:t xml:space="preserve">, weighing 14 ± 2 g and length 9 ± 1 cm were collected from CP fish farm, </w:t>
      </w:r>
      <w:r w:rsidR="0027453D">
        <w:t>Tamdala</w:t>
      </w:r>
      <w:r w:rsidR="00212B94" w:rsidRPr="00935924">
        <w:t xml:space="preserve">, </w:t>
      </w:r>
      <w:r w:rsidR="0027453D">
        <w:t>Tq: Sironcha</w:t>
      </w:r>
      <w:r w:rsidR="00212B94" w:rsidRPr="00935924">
        <w:t xml:space="preserve"> District</w:t>
      </w:r>
      <w:r w:rsidR="0027453D">
        <w:t>:</w:t>
      </w:r>
      <w:r w:rsidR="00212B94" w:rsidRPr="00935924">
        <w:t xml:space="preserve"> </w:t>
      </w:r>
      <w:r w:rsidR="0027453D">
        <w:t>Gadchiroli</w:t>
      </w:r>
      <w:r w:rsidR="00212B94" w:rsidRPr="00935924">
        <w:t xml:space="preserve">, India. Fishes were brought to the laboratory without stress and acclimatized for two weeks prior to the experiment in dechlorinated, aerated, static water stored in a glass tank of 40 L capacity maintaining photoperiod of 12 h light: 12 h dark conditions throughout the study. Fish were fed with standard fish pellets twice a day during the acclimatization period where the food remains and faeces were removed on daily basis to avoid stress to the animal. </w:t>
      </w:r>
    </w:p>
    <w:p w:rsidR="00212B94" w:rsidRPr="00935924" w:rsidRDefault="00212B94" w:rsidP="008F43FE">
      <w:pPr>
        <w:pStyle w:val="Default"/>
        <w:spacing w:afterLines="100" w:after="240"/>
        <w:jc w:val="both"/>
      </w:pPr>
      <w:r w:rsidRPr="00935924">
        <w:rPr>
          <w:b/>
          <w:bCs/>
        </w:rPr>
        <w:t xml:space="preserve">2.3 Malathion treatment </w:t>
      </w:r>
    </w:p>
    <w:p w:rsidR="00212B94" w:rsidRPr="00935924" w:rsidRDefault="008F43FE" w:rsidP="008F43FE">
      <w:pPr>
        <w:pStyle w:val="Default"/>
        <w:spacing w:afterLines="100" w:after="240"/>
        <w:jc w:val="both"/>
      </w:pPr>
      <w:r>
        <w:t xml:space="preserve"> </w:t>
      </w:r>
      <w:r>
        <w:tab/>
      </w:r>
      <w:r w:rsidR="00212B94" w:rsidRPr="00935924">
        <w:t xml:space="preserve">Malathion 50% EC (O, O-dimethyl, S-(1, 2- dicarboethoxy ethyl) phodophorodithioate; 50% emulsifiable concentrate; E.C.), was obtained from </w:t>
      </w:r>
      <w:r w:rsidR="00AB1BAD">
        <w:t>Verdhaman</w:t>
      </w:r>
      <w:r w:rsidR="00212B94" w:rsidRPr="00935924">
        <w:t xml:space="preserve"> Chemical Industries, </w:t>
      </w:r>
      <w:r w:rsidR="00AB1BAD">
        <w:t>Mancherial</w:t>
      </w:r>
      <w:r w:rsidR="00212B94" w:rsidRPr="00935924">
        <w:t xml:space="preserve">, India. The experiment was conducted in replicates using ten fish specimens exposed to each concentration in a static condition, without food and aeration for 96 h. </w:t>
      </w:r>
    </w:p>
    <w:p w:rsidR="00212B94" w:rsidRPr="00935924" w:rsidRDefault="00212B94" w:rsidP="008F43FE">
      <w:pPr>
        <w:pStyle w:val="Default"/>
        <w:spacing w:afterLines="100" w:after="240"/>
        <w:jc w:val="both"/>
      </w:pPr>
      <w:r w:rsidRPr="00935924">
        <w:rPr>
          <w:b/>
          <w:bCs/>
        </w:rPr>
        <w:t xml:space="preserve">2.4 Acute toxicity test </w:t>
      </w:r>
    </w:p>
    <w:p w:rsidR="00212B94" w:rsidRPr="00935924" w:rsidRDefault="008F43FE" w:rsidP="008F43FE">
      <w:pPr>
        <w:spacing w:afterLines="100" w:after="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12B94" w:rsidRPr="00935924">
        <w:rPr>
          <w:rFonts w:ascii="Times New Roman" w:hAnsi="Times New Roman" w:cs="Times New Roman"/>
          <w:sz w:val="24"/>
          <w:szCs w:val="24"/>
        </w:rPr>
        <w:t xml:space="preserve">After acclimatization, fish were exposed to seven different concentrations of malathion such as 0.25, 0.50, 0.75, 1.00, 1.25, 1.50 μg/ L for 96 h along with control group, without the toxicant. The above test concentrations were chosen after repeated range-finding experiments. The required test concentration was drawn directly using a micropipette without any diluents and added to each experimental tank. Fish were introduced into each tank with different malathion concentration for 96 h, and behavioural changes were observed for 1 h after the immediate introduction of fish, and for 30 min after every 24 h. Mortality of fish was observed at 24 h interval for 96 h, in which fish was considered as dead when there was no opercular movement </w:t>
      </w:r>
      <w:r w:rsidR="00212B94" w:rsidRPr="00935924">
        <w:rPr>
          <w:rFonts w:ascii="Times New Roman" w:hAnsi="Times New Roman" w:cs="Times New Roman"/>
          <w:sz w:val="24"/>
          <w:szCs w:val="24"/>
        </w:rPr>
        <w:lastRenderedPageBreak/>
        <w:t xml:space="preserve">and unresponsive condition on probing with the glass rod. The dead specimen was immediately removed so as to prevent contamination. Median lethal concentration (LC50-96 h) that kills 50% of test animal and its 95% confidence interval was predicted based on the different concentrations of </w:t>
      </w:r>
      <w:proofErr w:type="gramStart"/>
      <w:r w:rsidR="00212B94" w:rsidRPr="00935924">
        <w:rPr>
          <w:rFonts w:ascii="Times New Roman" w:hAnsi="Times New Roman" w:cs="Times New Roman"/>
          <w:sz w:val="24"/>
          <w:szCs w:val="24"/>
        </w:rPr>
        <w:t>malathion,</w:t>
      </w:r>
      <w:r w:rsidR="00F51F22">
        <w:rPr>
          <w:rFonts w:ascii="Times New Roman" w:hAnsi="Times New Roman" w:cs="Times New Roman"/>
          <w:sz w:val="24"/>
          <w:szCs w:val="24"/>
        </w:rPr>
        <w:t>.</w:t>
      </w:r>
      <w:proofErr w:type="gramEnd"/>
    </w:p>
    <w:p w:rsidR="00212B94" w:rsidRPr="00935924" w:rsidRDefault="00212B94" w:rsidP="00292C3C">
      <w:pPr>
        <w:autoSpaceDE w:val="0"/>
        <w:autoSpaceDN w:val="0"/>
        <w:adjustRightInd w:val="0"/>
        <w:spacing w:after="0" w:line="240" w:lineRule="auto"/>
        <w:jc w:val="both"/>
        <w:rPr>
          <w:rFonts w:ascii="Times New Roman" w:hAnsi="Times New Roman" w:cs="Times New Roman"/>
          <w:sz w:val="24"/>
          <w:szCs w:val="24"/>
        </w:rPr>
      </w:pPr>
    </w:p>
    <w:p w:rsidR="00212B94" w:rsidRPr="00935924" w:rsidRDefault="00212B94" w:rsidP="008F43FE">
      <w:pPr>
        <w:pStyle w:val="Default"/>
        <w:spacing w:afterLines="100" w:after="240"/>
        <w:jc w:val="both"/>
      </w:pPr>
      <w:r w:rsidRPr="00935924">
        <w:rPr>
          <w:b/>
          <w:bCs/>
        </w:rPr>
        <w:t xml:space="preserve">3. Results and Discussion </w:t>
      </w:r>
    </w:p>
    <w:p w:rsidR="00212B94" w:rsidRPr="00935924" w:rsidRDefault="008F43FE" w:rsidP="008F43FE">
      <w:pPr>
        <w:pStyle w:val="Default"/>
        <w:spacing w:afterLines="100" w:after="240"/>
        <w:jc w:val="both"/>
      </w:pPr>
      <w:r>
        <w:t xml:space="preserve"> </w:t>
      </w:r>
      <w:r>
        <w:tab/>
      </w:r>
      <w:r w:rsidR="00212B94" w:rsidRPr="00935924">
        <w:t xml:space="preserve">The present study was performed strictly following the Organization of Economic Co-operation and Development (OECD) guidelines of fish acute toxicity testing [14]. Accordingly, the freshwater fish, </w:t>
      </w:r>
      <w:r w:rsidR="00CB397B">
        <w:rPr>
          <w:i/>
          <w:iCs/>
        </w:rPr>
        <w:t>Mrigal</w:t>
      </w:r>
      <w:r w:rsidR="00212B94" w:rsidRPr="00935924">
        <w:rPr>
          <w:i/>
          <w:iCs/>
        </w:rPr>
        <w:t xml:space="preserve"> </w:t>
      </w:r>
      <w:r w:rsidR="00212B94" w:rsidRPr="00935924">
        <w:t xml:space="preserve">was exposed to different concentrations of malathion in a static condition for a period of 96 h. The mortality of fish was recorded on daily basis and it was found that the rate of mortality increases with increase in concentration of the toxicant as shown in Table 1. </w:t>
      </w:r>
    </w:p>
    <w:p w:rsidR="00212B94" w:rsidRPr="00935924" w:rsidRDefault="00212B94" w:rsidP="00FC6D5A">
      <w:pPr>
        <w:spacing w:afterLines="100" w:after="240"/>
        <w:jc w:val="center"/>
        <w:rPr>
          <w:rFonts w:ascii="Times New Roman" w:hAnsi="Times New Roman" w:cs="Times New Roman"/>
          <w:sz w:val="24"/>
          <w:szCs w:val="24"/>
        </w:rPr>
      </w:pPr>
      <w:r w:rsidRPr="00935924">
        <w:rPr>
          <w:rFonts w:ascii="Times New Roman" w:hAnsi="Times New Roman" w:cs="Times New Roman"/>
          <w:b/>
          <w:bCs/>
          <w:sz w:val="24"/>
          <w:szCs w:val="24"/>
        </w:rPr>
        <w:t xml:space="preserve">Table 1: </w:t>
      </w:r>
      <w:r w:rsidRPr="00935924">
        <w:rPr>
          <w:rFonts w:ascii="Times New Roman" w:hAnsi="Times New Roman" w:cs="Times New Roman"/>
          <w:sz w:val="24"/>
          <w:szCs w:val="24"/>
        </w:rPr>
        <w:t xml:space="preserve">Effect of malathion on the mortality rate for 96 h in the fish, </w:t>
      </w:r>
      <w:r w:rsidR="007558D9">
        <w:rPr>
          <w:rFonts w:ascii="Times New Roman" w:hAnsi="Times New Roman" w:cs="Times New Roman"/>
          <w:i/>
          <w:iCs/>
          <w:sz w:val="24"/>
          <w:szCs w:val="24"/>
        </w:rPr>
        <w:t>Mrigal</w:t>
      </w:r>
      <w:r w:rsidR="00F51F22">
        <w:rPr>
          <w:rFonts w:ascii="Times New Roman" w:hAnsi="Times New Roman" w:cs="Times New Roman"/>
          <w:i/>
          <w:iCs/>
          <w:sz w:val="24"/>
          <w:szCs w:val="24"/>
        </w:rPr>
        <w:t xml:space="preserve"> </w:t>
      </w:r>
      <w:r w:rsidRPr="00935924">
        <w:rPr>
          <w:rFonts w:ascii="Times New Roman" w:hAnsi="Times New Roman" w:cs="Times New Roman"/>
          <w:sz w:val="24"/>
          <w:szCs w:val="24"/>
        </w:rPr>
        <w:t>(n=10 in replicates)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2397"/>
        <w:gridCol w:w="2160"/>
        <w:gridCol w:w="1800"/>
      </w:tblGrid>
      <w:tr w:rsidR="000E7A6E" w:rsidRPr="00935924" w:rsidTr="00C80D6B">
        <w:trPr>
          <w:trHeight w:val="185"/>
          <w:jc w:val="center"/>
        </w:trPr>
        <w:tc>
          <w:tcPr>
            <w:tcW w:w="2179" w:type="dxa"/>
            <w:vMerge w:val="restart"/>
            <w:vAlign w:val="center"/>
          </w:tcPr>
          <w:p w:rsidR="000E7A6E" w:rsidRPr="00935924" w:rsidRDefault="000E7A6E" w:rsidP="00C80D6B">
            <w:pPr>
              <w:pStyle w:val="Default"/>
              <w:jc w:val="center"/>
            </w:pPr>
            <w:r w:rsidRPr="00935924">
              <w:rPr>
                <w:b/>
                <w:bCs/>
              </w:rPr>
              <w:t>Malathion concentration (μg/ L)</w:t>
            </w:r>
          </w:p>
        </w:tc>
        <w:tc>
          <w:tcPr>
            <w:tcW w:w="4557" w:type="dxa"/>
            <w:gridSpan w:val="2"/>
            <w:vAlign w:val="center"/>
          </w:tcPr>
          <w:p w:rsidR="000E7A6E" w:rsidRPr="00935924" w:rsidRDefault="000E7A6E" w:rsidP="00C80D6B">
            <w:pPr>
              <w:pStyle w:val="Default"/>
              <w:jc w:val="center"/>
            </w:pPr>
            <w:r w:rsidRPr="00935924">
              <w:rPr>
                <w:b/>
                <w:bCs/>
              </w:rPr>
              <w:t>Mortality</w:t>
            </w:r>
          </w:p>
        </w:tc>
        <w:tc>
          <w:tcPr>
            <w:tcW w:w="1800" w:type="dxa"/>
            <w:vMerge w:val="restart"/>
            <w:vAlign w:val="center"/>
          </w:tcPr>
          <w:p w:rsidR="000E7A6E" w:rsidRPr="00935924" w:rsidRDefault="000E7A6E" w:rsidP="00C80D6B">
            <w:pPr>
              <w:pStyle w:val="Default"/>
              <w:jc w:val="center"/>
            </w:pPr>
            <w:r w:rsidRPr="00935924">
              <w:rPr>
                <w:b/>
                <w:bCs/>
              </w:rPr>
              <w:t>Hour of mortality</w:t>
            </w:r>
          </w:p>
        </w:tc>
      </w:tr>
      <w:tr w:rsidR="000E7A6E" w:rsidRPr="00935924" w:rsidTr="00C80D6B">
        <w:trPr>
          <w:trHeight w:val="79"/>
          <w:jc w:val="center"/>
        </w:trPr>
        <w:tc>
          <w:tcPr>
            <w:tcW w:w="2179" w:type="dxa"/>
            <w:vMerge/>
          </w:tcPr>
          <w:p w:rsidR="000E7A6E" w:rsidRPr="00935924" w:rsidRDefault="000E7A6E" w:rsidP="00C80D6B">
            <w:pPr>
              <w:pStyle w:val="Default"/>
              <w:jc w:val="both"/>
            </w:pPr>
          </w:p>
        </w:tc>
        <w:tc>
          <w:tcPr>
            <w:tcW w:w="2397" w:type="dxa"/>
            <w:vAlign w:val="center"/>
          </w:tcPr>
          <w:p w:rsidR="000E7A6E" w:rsidRPr="00935924" w:rsidRDefault="000E7A6E" w:rsidP="00C80D6B">
            <w:pPr>
              <w:pStyle w:val="Default"/>
              <w:jc w:val="center"/>
            </w:pPr>
            <w:r w:rsidRPr="00935924">
              <w:rPr>
                <w:b/>
                <w:bCs/>
              </w:rPr>
              <w:t>Number of animals</w:t>
            </w:r>
          </w:p>
        </w:tc>
        <w:tc>
          <w:tcPr>
            <w:tcW w:w="2160" w:type="dxa"/>
            <w:vAlign w:val="center"/>
          </w:tcPr>
          <w:p w:rsidR="000E7A6E" w:rsidRPr="00935924" w:rsidRDefault="000E7A6E" w:rsidP="00C80D6B">
            <w:pPr>
              <w:pStyle w:val="Default"/>
              <w:jc w:val="center"/>
            </w:pPr>
            <w:r w:rsidRPr="00935924">
              <w:rPr>
                <w:b/>
                <w:bCs/>
              </w:rPr>
              <w:t>Percentage</w:t>
            </w:r>
          </w:p>
        </w:tc>
        <w:tc>
          <w:tcPr>
            <w:tcW w:w="1800" w:type="dxa"/>
            <w:vMerge/>
          </w:tcPr>
          <w:p w:rsidR="000E7A6E" w:rsidRPr="00935924" w:rsidRDefault="000E7A6E" w:rsidP="00C80D6B">
            <w:pPr>
              <w:pStyle w:val="Default"/>
              <w:jc w:val="both"/>
            </w:pP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0.00 </w:t>
            </w:r>
          </w:p>
        </w:tc>
        <w:tc>
          <w:tcPr>
            <w:tcW w:w="2397" w:type="dxa"/>
          </w:tcPr>
          <w:p w:rsidR="00212B94" w:rsidRPr="00935924" w:rsidRDefault="00212B94" w:rsidP="00C80D6B">
            <w:pPr>
              <w:pStyle w:val="Default"/>
              <w:jc w:val="both"/>
            </w:pPr>
            <w:r w:rsidRPr="00935924">
              <w:t xml:space="preserve">0 </w:t>
            </w:r>
          </w:p>
        </w:tc>
        <w:tc>
          <w:tcPr>
            <w:tcW w:w="2160" w:type="dxa"/>
          </w:tcPr>
          <w:p w:rsidR="00212B94" w:rsidRPr="00935924" w:rsidRDefault="00212B94" w:rsidP="00C80D6B">
            <w:pPr>
              <w:pStyle w:val="Default"/>
              <w:jc w:val="both"/>
            </w:pPr>
            <w:r w:rsidRPr="00935924">
              <w:t xml:space="preserve">0 </w:t>
            </w:r>
          </w:p>
        </w:tc>
        <w:tc>
          <w:tcPr>
            <w:tcW w:w="1800" w:type="dxa"/>
          </w:tcPr>
          <w:p w:rsidR="00212B94" w:rsidRPr="00935924" w:rsidRDefault="00212B94" w:rsidP="00C80D6B">
            <w:pPr>
              <w:pStyle w:val="Default"/>
              <w:jc w:val="both"/>
            </w:pPr>
            <w:r w:rsidRPr="00935924">
              <w:t xml:space="preserve">96 h </w:t>
            </w: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0.25 </w:t>
            </w:r>
          </w:p>
        </w:tc>
        <w:tc>
          <w:tcPr>
            <w:tcW w:w="2397" w:type="dxa"/>
          </w:tcPr>
          <w:p w:rsidR="00212B94" w:rsidRPr="00935924" w:rsidRDefault="00212B94" w:rsidP="00C80D6B">
            <w:pPr>
              <w:pStyle w:val="Default"/>
              <w:jc w:val="both"/>
            </w:pPr>
            <w:r w:rsidRPr="00935924">
              <w:t xml:space="preserve">2.0 </w:t>
            </w:r>
          </w:p>
        </w:tc>
        <w:tc>
          <w:tcPr>
            <w:tcW w:w="2160" w:type="dxa"/>
          </w:tcPr>
          <w:p w:rsidR="00212B94" w:rsidRPr="00935924" w:rsidRDefault="00212B94" w:rsidP="00C80D6B">
            <w:pPr>
              <w:pStyle w:val="Default"/>
              <w:jc w:val="both"/>
            </w:pPr>
            <w:r w:rsidRPr="00935924">
              <w:t xml:space="preserve">20 </w:t>
            </w:r>
          </w:p>
        </w:tc>
        <w:tc>
          <w:tcPr>
            <w:tcW w:w="1800" w:type="dxa"/>
          </w:tcPr>
          <w:p w:rsidR="00212B94" w:rsidRPr="00935924" w:rsidRDefault="00212B94" w:rsidP="00C80D6B">
            <w:pPr>
              <w:pStyle w:val="Default"/>
              <w:jc w:val="both"/>
            </w:pPr>
            <w:r w:rsidRPr="00935924">
              <w:t xml:space="preserve">96 h </w:t>
            </w: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0.50 </w:t>
            </w:r>
          </w:p>
        </w:tc>
        <w:tc>
          <w:tcPr>
            <w:tcW w:w="2397" w:type="dxa"/>
          </w:tcPr>
          <w:p w:rsidR="00212B94" w:rsidRPr="00935924" w:rsidRDefault="00212B94" w:rsidP="00C80D6B">
            <w:pPr>
              <w:pStyle w:val="Default"/>
              <w:jc w:val="both"/>
            </w:pPr>
            <w:r w:rsidRPr="00935924">
              <w:t xml:space="preserve">5.0 </w:t>
            </w:r>
          </w:p>
        </w:tc>
        <w:tc>
          <w:tcPr>
            <w:tcW w:w="2160" w:type="dxa"/>
          </w:tcPr>
          <w:p w:rsidR="00212B94" w:rsidRPr="00935924" w:rsidRDefault="00212B94" w:rsidP="00C80D6B">
            <w:pPr>
              <w:pStyle w:val="Default"/>
              <w:jc w:val="both"/>
            </w:pPr>
            <w:r w:rsidRPr="00935924">
              <w:t xml:space="preserve">50 </w:t>
            </w:r>
          </w:p>
        </w:tc>
        <w:tc>
          <w:tcPr>
            <w:tcW w:w="1800" w:type="dxa"/>
          </w:tcPr>
          <w:p w:rsidR="00212B94" w:rsidRPr="00935924" w:rsidRDefault="00212B94" w:rsidP="00C80D6B">
            <w:pPr>
              <w:pStyle w:val="Default"/>
              <w:jc w:val="both"/>
            </w:pPr>
            <w:r w:rsidRPr="00935924">
              <w:t xml:space="preserve">96 h </w:t>
            </w: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0.75 </w:t>
            </w:r>
          </w:p>
        </w:tc>
        <w:tc>
          <w:tcPr>
            <w:tcW w:w="2397" w:type="dxa"/>
          </w:tcPr>
          <w:p w:rsidR="00212B94" w:rsidRPr="00935924" w:rsidRDefault="00212B94" w:rsidP="00C80D6B">
            <w:pPr>
              <w:pStyle w:val="Default"/>
              <w:jc w:val="both"/>
            </w:pPr>
            <w:r w:rsidRPr="00935924">
              <w:t xml:space="preserve">6.0 </w:t>
            </w:r>
          </w:p>
        </w:tc>
        <w:tc>
          <w:tcPr>
            <w:tcW w:w="2160" w:type="dxa"/>
          </w:tcPr>
          <w:p w:rsidR="00212B94" w:rsidRPr="00935924" w:rsidRDefault="00212B94" w:rsidP="00C80D6B">
            <w:pPr>
              <w:pStyle w:val="Default"/>
              <w:jc w:val="both"/>
            </w:pPr>
            <w:r w:rsidRPr="00935924">
              <w:t xml:space="preserve">60 </w:t>
            </w:r>
          </w:p>
        </w:tc>
        <w:tc>
          <w:tcPr>
            <w:tcW w:w="1800" w:type="dxa"/>
          </w:tcPr>
          <w:p w:rsidR="00212B94" w:rsidRPr="00935924" w:rsidRDefault="00212B94" w:rsidP="00C80D6B">
            <w:pPr>
              <w:pStyle w:val="Default"/>
              <w:jc w:val="both"/>
            </w:pPr>
            <w:r w:rsidRPr="00935924">
              <w:t xml:space="preserve">96 h </w:t>
            </w: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1.00 </w:t>
            </w:r>
          </w:p>
        </w:tc>
        <w:tc>
          <w:tcPr>
            <w:tcW w:w="2397" w:type="dxa"/>
          </w:tcPr>
          <w:p w:rsidR="00212B94" w:rsidRPr="00935924" w:rsidRDefault="00212B94" w:rsidP="00C80D6B">
            <w:pPr>
              <w:pStyle w:val="Default"/>
              <w:jc w:val="both"/>
            </w:pPr>
            <w:r w:rsidRPr="00935924">
              <w:t xml:space="preserve">7.0 </w:t>
            </w:r>
          </w:p>
        </w:tc>
        <w:tc>
          <w:tcPr>
            <w:tcW w:w="2160" w:type="dxa"/>
          </w:tcPr>
          <w:p w:rsidR="00212B94" w:rsidRPr="00935924" w:rsidRDefault="00212B94" w:rsidP="00C80D6B">
            <w:pPr>
              <w:pStyle w:val="Default"/>
              <w:jc w:val="both"/>
            </w:pPr>
            <w:r w:rsidRPr="00935924">
              <w:t xml:space="preserve">70 </w:t>
            </w:r>
          </w:p>
        </w:tc>
        <w:tc>
          <w:tcPr>
            <w:tcW w:w="1800" w:type="dxa"/>
          </w:tcPr>
          <w:p w:rsidR="00212B94" w:rsidRPr="00935924" w:rsidRDefault="00212B94" w:rsidP="00C80D6B">
            <w:pPr>
              <w:pStyle w:val="Default"/>
              <w:jc w:val="both"/>
            </w:pPr>
            <w:r w:rsidRPr="00935924">
              <w:t xml:space="preserve">96 h </w:t>
            </w: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1.25 </w:t>
            </w:r>
          </w:p>
        </w:tc>
        <w:tc>
          <w:tcPr>
            <w:tcW w:w="2397" w:type="dxa"/>
          </w:tcPr>
          <w:p w:rsidR="00212B94" w:rsidRPr="00935924" w:rsidRDefault="00212B94" w:rsidP="00C80D6B">
            <w:pPr>
              <w:pStyle w:val="Default"/>
              <w:jc w:val="both"/>
            </w:pPr>
            <w:r w:rsidRPr="00935924">
              <w:t xml:space="preserve">10.0 </w:t>
            </w:r>
          </w:p>
        </w:tc>
        <w:tc>
          <w:tcPr>
            <w:tcW w:w="2160" w:type="dxa"/>
          </w:tcPr>
          <w:p w:rsidR="00212B94" w:rsidRPr="00935924" w:rsidRDefault="00212B94" w:rsidP="00C80D6B">
            <w:pPr>
              <w:pStyle w:val="Default"/>
              <w:jc w:val="both"/>
            </w:pPr>
            <w:r w:rsidRPr="00935924">
              <w:t xml:space="preserve">100 </w:t>
            </w:r>
          </w:p>
        </w:tc>
        <w:tc>
          <w:tcPr>
            <w:tcW w:w="1800" w:type="dxa"/>
          </w:tcPr>
          <w:p w:rsidR="00212B94" w:rsidRPr="00935924" w:rsidRDefault="00212B94" w:rsidP="00C80D6B">
            <w:pPr>
              <w:pStyle w:val="Default"/>
              <w:jc w:val="both"/>
            </w:pPr>
            <w:r w:rsidRPr="00935924">
              <w:t xml:space="preserve">96 h </w:t>
            </w:r>
          </w:p>
        </w:tc>
      </w:tr>
      <w:tr w:rsidR="00212B94" w:rsidRPr="00935924" w:rsidTr="00C80D6B">
        <w:trPr>
          <w:trHeight w:val="80"/>
          <w:jc w:val="center"/>
        </w:trPr>
        <w:tc>
          <w:tcPr>
            <w:tcW w:w="2179" w:type="dxa"/>
          </w:tcPr>
          <w:p w:rsidR="00212B94" w:rsidRPr="00935924" w:rsidRDefault="00212B94" w:rsidP="00C80D6B">
            <w:pPr>
              <w:pStyle w:val="Default"/>
              <w:jc w:val="both"/>
            </w:pPr>
            <w:r w:rsidRPr="00935924">
              <w:t xml:space="preserve">1.50 </w:t>
            </w:r>
          </w:p>
        </w:tc>
        <w:tc>
          <w:tcPr>
            <w:tcW w:w="2397" w:type="dxa"/>
          </w:tcPr>
          <w:p w:rsidR="00212B94" w:rsidRPr="00935924" w:rsidRDefault="00212B94" w:rsidP="00C80D6B">
            <w:pPr>
              <w:pStyle w:val="Default"/>
              <w:jc w:val="both"/>
            </w:pPr>
            <w:r w:rsidRPr="00935924">
              <w:t xml:space="preserve">10.0 </w:t>
            </w:r>
          </w:p>
        </w:tc>
        <w:tc>
          <w:tcPr>
            <w:tcW w:w="2160" w:type="dxa"/>
          </w:tcPr>
          <w:p w:rsidR="00212B94" w:rsidRPr="00935924" w:rsidRDefault="00212B94" w:rsidP="00C80D6B">
            <w:pPr>
              <w:pStyle w:val="Default"/>
              <w:jc w:val="both"/>
            </w:pPr>
            <w:r w:rsidRPr="00935924">
              <w:t xml:space="preserve">100 </w:t>
            </w:r>
          </w:p>
        </w:tc>
        <w:tc>
          <w:tcPr>
            <w:tcW w:w="1800" w:type="dxa"/>
          </w:tcPr>
          <w:p w:rsidR="00212B94" w:rsidRPr="00935924" w:rsidRDefault="00212B94" w:rsidP="00C80D6B">
            <w:pPr>
              <w:pStyle w:val="Default"/>
              <w:jc w:val="both"/>
            </w:pPr>
            <w:r w:rsidRPr="00935924">
              <w:t xml:space="preserve">72 h </w:t>
            </w:r>
          </w:p>
        </w:tc>
      </w:tr>
    </w:tbl>
    <w:p w:rsidR="00E64FB9" w:rsidRPr="00935924" w:rsidRDefault="00FC6D5A" w:rsidP="008F43FE">
      <w:pPr>
        <w:pStyle w:val="Default"/>
        <w:spacing w:afterLines="100" w:after="240"/>
        <w:jc w:val="both"/>
      </w:pPr>
      <w:r>
        <w:tab/>
      </w:r>
      <w:r w:rsidR="00E64FB9" w:rsidRPr="00935924">
        <w:t xml:space="preserve">Acute toxicity testing is an important tool for assessing the effect and fate of toxicant in aquatic ecosystems as well as it indicates the quality of water [15]. Physico-chemical parameters play an important role in assessing the toxic effects of </w:t>
      </w:r>
      <w:proofErr w:type="gramStart"/>
      <w:r w:rsidR="00E64FB9" w:rsidRPr="00935924">
        <w:t>pollutants,</w:t>
      </w:r>
      <w:proofErr w:type="gramEnd"/>
      <w:r w:rsidR="00E64FB9" w:rsidRPr="00935924">
        <w:t xml:space="preserve"> thus the present study maintained some important physico-chemical features of water such as temperature, salinity, pH, oxygen saturation and other chemical analysis to ensure the quality of water for the maintenance of fish in stress-free environment. </w:t>
      </w:r>
    </w:p>
    <w:p w:rsidR="00E64FB9" w:rsidRPr="00935924" w:rsidRDefault="00FC6D5A" w:rsidP="008F43FE">
      <w:pPr>
        <w:spacing w:afterLines="100" w:after="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64FB9" w:rsidRPr="00935924">
        <w:rPr>
          <w:rFonts w:ascii="Times New Roman" w:hAnsi="Times New Roman" w:cs="Times New Roman"/>
          <w:sz w:val="24"/>
          <w:szCs w:val="24"/>
        </w:rPr>
        <w:t xml:space="preserve">Fish exposed to 0.25 μg/ L concentration showed 20% mortality whereas 0.50, 0.75, 1.00 and 1.25 </w:t>
      </w:r>
      <w:bookmarkStart w:id="1" w:name="_Hlk137067181"/>
      <w:r w:rsidR="00E64FB9" w:rsidRPr="00935924">
        <w:rPr>
          <w:rFonts w:ascii="Times New Roman" w:hAnsi="Times New Roman" w:cs="Times New Roman"/>
          <w:sz w:val="24"/>
          <w:szCs w:val="24"/>
        </w:rPr>
        <w:t>μg/ L</w:t>
      </w:r>
      <w:bookmarkEnd w:id="1"/>
      <w:r w:rsidR="00E64FB9" w:rsidRPr="00935924">
        <w:rPr>
          <w:rFonts w:ascii="Times New Roman" w:hAnsi="Times New Roman" w:cs="Times New Roman"/>
          <w:sz w:val="24"/>
          <w:szCs w:val="24"/>
        </w:rPr>
        <w:t xml:space="preserve"> concentrations showed 50%, 60%, 70% and 100% mortality after 96 h. Increase in the concentration of malathion for 1.50</w:t>
      </w:r>
      <w:r w:rsidR="005A3FFF" w:rsidRPr="005A3FFF">
        <w:rPr>
          <w:rFonts w:ascii="Times New Roman" w:hAnsi="Times New Roman" w:cs="Times New Roman"/>
          <w:sz w:val="24"/>
          <w:szCs w:val="24"/>
        </w:rPr>
        <w:t xml:space="preserve"> </w:t>
      </w:r>
      <w:r w:rsidR="005A3FFF" w:rsidRPr="00935924">
        <w:rPr>
          <w:rFonts w:ascii="Times New Roman" w:hAnsi="Times New Roman" w:cs="Times New Roman"/>
          <w:sz w:val="24"/>
          <w:szCs w:val="24"/>
        </w:rPr>
        <w:t xml:space="preserve">μg/ </w:t>
      </w:r>
      <w:proofErr w:type="gramStart"/>
      <w:r w:rsidR="005A3FFF" w:rsidRPr="00935924">
        <w:rPr>
          <w:rFonts w:ascii="Times New Roman" w:hAnsi="Times New Roman" w:cs="Times New Roman"/>
          <w:sz w:val="24"/>
          <w:szCs w:val="24"/>
        </w:rPr>
        <w:t>L</w:t>
      </w:r>
      <w:r w:rsidR="00E64FB9" w:rsidRPr="00935924">
        <w:rPr>
          <w:rFonts w:ascii="Times New Roman" w:hAnsi="Times New Roman" w:cs="Times New Roman"/>
          <w:sz w:val="24"/>
          <w:szCs w:val="24"/>
        </w:rPr>
        <w:t xml:space="preserve">  concentrations</w:t>
      </w:r>
      <w:proofErr w:type="gramEnd"/>
      <w:r w:rsidR="00E64FB9" w:rsidRPr="00935924">
        <w:rPr>
          <w:rFonts w:ascii="Times New Roman" w:hAnsi="Times New Roman" w:cs="Times New Roman"/>
          <w:sz w:val="24"/>
          <w:szCs w:val="24"/>
        </w:rPr>
        <w:t xml:space="preserve"> showed 100% mortality after 72 </w:t>
      </w:r>
      <w:r w:rsidR="000A6E38">
        <w:rPr>
          <w:rFonts w:ascii="Times New Roman" w:hAnsi="Times New Roman" w:cs="Times New Roman"/>
          <w:sz w:val="24"/>
          <w:szCs w:val="24"/>
        </w:rPr>
        <w:t>,</w:t>
      </w:r>
      <w:r w:rsidR="00E64FB9" w:rsidRPr="00935924">
        <w:rPr>
          <w:rFonts w:ascii="Times New Roman" w:hAnsi="Times New Roman" w:cs="Times New Roman"/>
          <w:sz w:val="24"/>
          <w:szCs w:val="24"/>
        </w:rPr>
        <w:t>respectively (Table 1).</w:t>
      </w:r>
    </w:p>
    <w:p w:rsidR="00CE55FC" w:rsidRPr="00935924" w:rsidRDefault="00FC6D5A" w:rsidP="008F43FE">
      <w:pPr>
        <w:pStyle w:val="Default"/>
        <w:spacing w:afterLines="100" w:after="240"/>
        <w:jc w:val="both"/>
      </w:pPr>
      <w:r>
        <w:t xml:space="preserve"> </w:t>
      </w:r>
      <w:r>
        <w:tab/>
      </w:r>
      <w:r w:rsidR="00CE55FC" w:rsidRPr="00935924">
        <w:t xml:space="preserve">Fish behaviour is considered as a link between the physiological functions and ecological factors including several endogenous or exogenous chemical stressors. Aquatic organisms exposed to environmental contaminants are suspected to cause behavioural modifications, and are used as a sensitive biomarker to understand the health status and viability of fish in the natural population [16]. The present study noticed several changes in the behaviour of fish when exposed to malathion at different concentrations. Immediately after the introduction of fish to the toxicant showed irregular erratic swimming when compared to the fish from the control group. Swimming is one of the most common and relevant measure used to address the response of fish to the toxicant, which ultimately reflects the fitness of the affected fish population [17]. Similar </w:t>
      </w:r>
      <w:r w:rsidR="00CE55FC" w:rsidRPr="00935924">
        <w:lastRenderedPageBreak/>
        <w:t xml:space="preserve">observations were documented on exposure of fullerene C60 nanomaterial to the freshwater fish, </w:t>
      </w:r>
      <w:r w:rsidR="00CE55FC" w:rsidRPr="00935924">
        <w:rPr>
          <w:i/>
          <w:iCs/>
        </w:rPr>
        <w:t xml:space="preserve">Anabas testudineus </w:t>
      </w:r>
      <w:r w:rsidR="00CE55FC" w:rsidRPr="00935924">
        <w:t xml:space="preserve">[18]. </w:t>
      </w:r>
    </w:p>
    <w:p w:rsidR="00CE55FC" w:rsidRPr="00935924" w:rsidRDefault="00FC6D5A" w:rsidP="008F43FE">
      <w:pPr>
        <w:spacing w:afterLines="100" w:after="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E55FC" w:rsidRPr="00935924">
        <w:rPr>
          <w:rFonts w:ascii="Times New Roman" w:hAnsi="Times New Roman" w:cs="Times New Roman"/>
          <w:sz w:val="24"/>
          <w:szCs w:val="24"/>
        </w:rPr>
        <w:t>In the present study, fish exposed to malathion also showed frequent surfacing and air engul</w:t>
      </w:r>
      <w:r w:rsidR="0092428E">
        <w:rPr>
          <w:rFonts w:ascii="Times New Roman" w:hAnsi="Times New Roman" w:cs="Times New Roman"/>
          <w:sz w:val="24"/>
          <w:szCs w:val="24"/>
        </w:rPr>
        <w:t>f</w:t>
      </w:r>
      <w:r w:rsidR="00CE55FC" w:rsidRPr="00935924">
        <w:rPr>
          <w:rFonts w:ascii="Times New Roman" w:hAnsi="Times New Roman" w:cs="Times New Roman"/>
          <w:sz w:val="24"/>
          <w:szCs w:val="24"/>
        </w:rPr>
        <w:t xml:space="preserve">ing in order to escape from the exposed toxicant, which resulted in aggressive behaviour by hitting on the walls of the experimental tanks. It was followed by the increase in excessive mucous secretion that was formed as a layer throughout the body of animal in order to minimize the irritating effect of the toxicant. Mucous secretion also functions to inhibit the diffusion of oxygen during gaseous exchange, and this could be the reason for rapid opercular lifting in the malathion-exposed groups. In another study, fish exposed to bisphenol A also demonstrated severe mucous secretion in the cichlid fish, </w:t>
      </w:r>
      <w:r w:rsidR="00CE55FC" w:rsidRPr="00935924">
        <w:rPr>
          <w:rFonts w:ascii="Times New Roman" w:hAnsi="Times New Roman" w:cs="Times New Roman"/>
          <w:i/>
          <w:iCs/>
          <w:sz w:val="24"/>
          <w:szCs w:val="24"/>
        </w:rPr>
        <w:t xml:space="preserve">Etroplus maculatus </w:t>
      </w:r>
      <w:r w:rsidR="00CE55FC" w:rsidRPr="00935924">
        <w:rPr>
          <w:rFonts w:ascii="Times New Roman" w:hAnsi="Times New Roman" w:cs="Times New Roman"/>
          <w:sz w:val="24"/>
          <w:szCs w:val="24"/>
        </w:rPr>
        <w:t>[19]. In the high concentrations of malathion-exposed groups such as 1.25, 1.50μg/ L concentrations there was a slight haemorrhage in the fins and eyes of fish along with the bulging of eyes and this could be probably due to the disruption in the physiological adaptation of the fish against the polluted environment.</w:t>
      </w:r>
    </w:p>
    <w:p w:rsidR="007B006B" w:rsidRPr="00935924" w:rsidRDefault="00267DF6" w:rsidP="0092428E">
      <w:pPr>
        <w:spacing w:afterLines="100" w:after="240"/>
        <w:ind w:firstLine="720"/>
        <w:jc w:val="both"/>
        <w:rPr>
          <w:rFonts w:ascii="Times New Roman" w:hAnsi="Times New Roman" w:cs="Times New Roman"/>
          <w:sz w:val="24"/>
          <w:szCs w:val="24"/>
        </w:rPr>
      </w:pPr>
      <w:r w:rsidRPr="00935924">
        <w:rPr>
          <w:rFonts w:ascii="Times New Roman" w:hAnsi="Times New Roman" w:cs="Times New Roman"/>
          <w:sz w:val="24"/>
          <w:szCs w:val="24"/>
        </w:rPr>
        <w:t xml:space="preserve">Finally, the exposed fishes showed loss of equilibrium and settled at the bottom of tank without movement showing respiratory distress followed by the death of the fish. Similar behavioural response has been shown by the freshwater fish, </w:t>
      </w:r>
      <w:r w:rsidRPr="00935924">
        <w:rPr>
          <w:rFonts w:ascii="Times New Roman" w:hAnsi="Times New Roman" w:cs="Times New Roman"/>
          <w:i/>
          <w:iCs/>
          <w:sz w:val="24"/>
          <w:szCs w:val="24"/>
        </w:rPr>
        <w:t xml:space="preserve">Etroplus maculatus </w:t>
      </w:r>
      <w:r w:rsidRPr="00935924">
        <w:rPr>
          <w:rFonts w:ascii="Times New Roman" w:hAnsi="Times New Roman" w:cs="Times New Roman"/>
          <w:sz w:val="24"/>
          <w:szCs w:val="24"/>
        </w:rPr>
        <w:t>exposed to another organophosphorus pesticide chlorpyrifos thereby proved neurotoxic effects of the pesticide [20]. The mortality of fish was further confirmed by touching the caudal peduncle using glass rod that showed no visible movement including opercular lifting, and the dead fish were immediately removed from experimental tanks to prevent stress and contamination.</w:t>
      </w:r>
    </w:p>
    <w:p w:rsidR="00AC457E" w:rsidRPr="00935924" w:rsidRDefault="00AC457E" w:rsidP="00EF0B98">
      <w:pPr>
        <w:spacing w:after="0" w:line="240" w:lineRule="auto"/>
        <w:jc w:val="both"/>
        <w:rPr>
          <w:rFonts w:ascii="Times New Roman" w:hAnsi="Times New Roman" w:cs="Times New Roman"/>
          <w:sz w:val="24"/>
          <w:szCs w:val="24"/>
        </w:rPr>
      </w:pPr>
    </w:p>
    <w:p w:rsidR="00AC457E" w:rsidRPr="00935924" w:rsidRDefault="00AC457E" w:rsidP="008F43FE">
      <w:pPr>
        <w:pStyle w:val="Default"/>
        <w:spacing w:afterLines="100" w:after="240"/>
        <w:jc w:val="both"/>
      </w:pPr>
      <w:r w:rsidRPr="00935924">
        <w:rPr>
          <w:b/>
          <w:bCs/>
        </w:rPr>
        <w:t xml:space="preserve">4. Conclusion </w:t>
      </w:r>
    </w:p>
    <w:p w:rsidR="00AC457E" w:rsidRPr="00935924" w:rsidRDefault="00AC457E" w:rsidP="008F43FE">
      <w:pPr>
        <w:pStyle w:val="Default"/>
        <w:spacing w:afterLines="100" w:after="240"/>
        <w:jc w:val="both"/>
      </w:pPr>
      <w:r w:rsidRPr="00935924">
        <w:t xml:space="preserve">The present study demonstrated that the acute exposure of malathion caused 50% fish mortality at 0.5 μg/ L concentration. Thus median lethal concentration or 96 h-LC50 value for malathion in the freshwater </w:t>
      </w:r>
      <w:proofErr w:type="gramStart"/>
      <w:r w:rsidRPr="00935924">
        <w:t>fish,</w:t>
      </w:r>
      <w:r w:rsidR="00D47C7B">
        <w:t>Mrigal</w:t>
      </w:r>
      <w:proofErr w:type="gramEnd"/>
      <w:r w:rsidRPr="00935924">
        <w:rPr>
          <w:i/>
          <w:iCs/>
        </w:rPr>
        <w:t xml:space="preserve"> </w:t>
      </w:r>
      <w:r w:rsidRPr="00935924">
        <w:t xml:space="preserve">was 0.5 μg/ L concentration. </w:t>
      </w:r>
    </w:p>
    <w:p w:rsidR="00AC457E" w:rsidRPr="00935924" w:rsidRDefault="00AC457E" w:rsidP="008F43FE">
      <w:pPr>
        <w:pStyle w:val="Default"/>
        <w:spacing w:afterLines="100" w:after="240"/>
        <w:jc w:val="both"/>
      </w:pPr>
      <w:r w:rsidRPr="00935924">
        <w:rPr>
          <w:b/>
          <w:bCs/>
        </w:rPr>
        <w:t xml:space="preserve">5. References </w:t>
      </w:r>
    </w:p>
    <w:p w:rsidR="00AC457E" w:rsidRPr="00935924" w:rsidRDefault="00AC457E" w:rsidP="008F43FE">
      <w:pPr>
        <w:pStyle w:val="Default"/>
        <w:spacing w:afterLines="100" w:after="240"/>
        <w:jc w:val="both"/>
      </w:pPr>
      <w:r w:rsidRPr="00935924">
        <w:t xml:space="preserve">1. Jiao C, Chen L, Sun C, Jiang Y, Zhai L, Liu H, Shen Z </w:t>
      </w:r>
      <w:r w:rsidRPr="00935924">
        <w:rPr>
          <w:i/>
          <w:iCs/>
        </w:rPr>
        <w:t>et al</w:t>
      </w:r>
      <w:r w:rsidRPr="00935924">
        <w:t xml:space="preserve">. Evaluating national ecological risk of agricultural pesticides from 2004 to 2017 in China. Environmental Pollution. 2019; 259: 113778. </w:t>
      </w:r>
    </w:p>
    <w:p w:rsidR="00AC457E" w:rsidRPr="00935924" w:rsidRDefault="00AC457E" w:rsidP="008F43FE">
      <w:pPr>
        <w:pStyle w:val="Default"/>
        <w:spacing w:afterLines="100" w:after="240"/>
        <w:jc w:val="both"/>
      </w:pPr>
      <w:r w:rsidRPr="00935924">
        <w:t xml:space="preserve">2. Oziolor EM, Reid NM, Yair S, Lee KM, Guberman Ver Ploeg S, Bruns PC </w:t>
      </w:r>
      <w:r w:rsidRPr="00935924">
        <w:rPr>
          <w:i/>
          <w:iCs/>
        </w:rPr>
        <w:t>et al</w:t>
      </w:r>
      <w:r w:rsidRPr="00935924">
        <w:t xml:space="preserve">. Adaptive introgression enables evolutionary rescue from extreme environmental pollution. Science. 2019; 364(6439):455-457. </w:t>
      </w:r>
    </w:p>
    <w:p w:rsidR="00AC457E" w:rsidRPr="00935924" w:rsidRDefault="00AC457E" w:rsidP="008F43FE">
      <w:pPr>
        <w:pStyle w:val="Default"/>
        <w:spacing w:afterLines="100" w:after="240"/>
        <w:jc w:val="both"/>
      </w:pPr>
      <w:r w:rsidRPr="00935924">
        <w:t xml:space="preserve">3. Kumar K, Ayyappan S, Murjani G. Eradication of the predatory insect </w:t>
      </w:r>
      <w:r w:rsidRPr="00935924">
        <w:rPr>
          <w:i/>
          <w:iCs/>
        </w:rPr>
        <w:t xml:space="preserve">Anisops </w:t>
      </w:r>
      <w:r w:rsidRPr="00935924">
        <w:t xml:space="preserve">sp. (Notonectidae) in freshwater fish ponds using malathion. Journal of Aquaculture in the Tropics. 1993; 8:245-248. </w:t>
      </w:r>
    </w:p>
    <w:p w:rsidR="00AC457E" w:rsidRPr="00935924" w:rsidRDefault="00AC457E" w:rsidP="008F43FE">
      <w:pPr>
        <w:pStyle w:val="Default"/>
        <w:spacing w:afterLines="100" w:after="240"/>
        <w:jc w:val="both"/>
      </w:pPr>
      <w:r w:rsidRPr="00935924">
        <w:lastRenderedPageBreak/>
        <w:t xml:space="preserve">4. Zhou H, Du J, Huang Y. Effects of sublethal doses of malathion on responses to sex pheromones by male asian corn borer moths, </w:t>
      </w:r>
      <w:r w:rsidRPr="00935924">
        <w:rPr>
          <w:i/>
          <w:iCs/>
        </w:rPr>
        <w:t xml:space="preserve">Ostrinia furnacalis </w:t>
      </w:r>
      <w:r w:rsidRPr="00935924">
        <w:t xml:space="preserve">(Guenee). Journal of Chemical Ecology. 2005; 31(7):1645-1656. </w:t>
      </w:r>
    </w:p>
    <w:p w:rsidR="00AC457E" w:rsidRPr="00935924" w:rsidRDefault="00AC457E" w:rsidP="008F43FE">
      <w:pPr>
        <w:pStyle w:val="Default"/>
        <w:spacing w:afterLines="100" w:after="240"/>
        <w:jc w:val="both"/>
      </w:pPr>
      <w:r w:rsidRPr="00935924">
        <w:t xml:space="preserve">5. Wang T. Assimilation of malathion in the Indian River estuary, Florida. Bulletin of Environmental Contamination and Toxicology. 1991; 47:238-243. </w:t>
      </w:r>
    </w:p>
    <w:p w:rsidR="00AC457E" w:rsidRPr="00935924" w:rsidRDefault="00AC457E" w:rsidP="008F43FE">
      <w:pPr>
        <w:pStyle w:val="Default"/>
        <w:spacing w:afterLines="100" w:after="240"/>
        <w:jc w:val="both"/>
      </w:pPr>
      <w:r w:rsidRPr="00935924">
        <w:t xml:space="preserve">6. Subburaj A, Jawahar P, Jayakumar N, Srinivasan A, Ahilan B. Acute toxicity bioassay of malathion (EC 50%) on the fish, </w:t>
      </w:r>
      <w:r w:rsidRPr="00935924">
        <w:rPr>
          <w:i/>
          <w:iCs/>
        </w:rPr>
        <w:t xml:space="preserve">Oreochromis mossambicus </w:t>
      </w:r>
      <w:r w:rsidRPr="00935924">
        <w:t xml:space="preserve">(Tilapia) and associated histological alterations in gills. Journal of Entomology and Zoology Studies. 2018; 6(1):103-107. </w:t>
      </w:r>
    </w:p>
    <w:p w:rsidR="00AC457E" w:rsidRPr="00935924" w:rsidRDefault="00AC457E" w:rsidP="008F43FE">
      <w:pPr>
        <w:pStyle w:val="Default"/>
        <w:spacing w:afterLines="100" w:after="240"/>
        <w:jc w:val="both"/>
      </w:pPr>
      <w:r w:rsidRPr="00935924">
        <w:t xml:space="preserve">7. Durkin PR. Malathion; Human Health and ecological risk assessment. Final report submitted to Paul Mistretta, PCR, USDA/Forest Service, Suthern region, Atlanta Georgia. SERA TR-052-02-02c, 2008, 325. </w:t>
      </w:r>
    </w:p>
    <w:p w:rsidR="00AC457E" w:rsidRPr="00935924" w:rsidRDefault="00AC457E" w:rsidP="008F43FE">
      <w:pPr>
        <w:pStyle w:val="Default"/>
        <w:spacing w:afterLines="100" w:after="240"/>
        <w:jc w:val="both"/>
      </w:pPr>
      <w:r w:rsidRPr="00935924">
        <w:t xml:space="preserve">8. Wasu YH, Gadhikar YA, Ade PP. Sublethal and chronic effect of carbaryl and malathion on </w:t>
      </w:r>
      <w:r w:rsidRPr="00935924">
        <w:rPr>
          <w:i/>
          <w:iCs/>
        </w:rPr>
        <w:t xml:space="preserve">Clarius batrachus </w:t>
      </w:r>
      <w:r w:rsidRPr="00935924">
        <w:t xml:space="preserve">(Linn.). Journal of Applied Sciences and Environmental Management. 2009; 13(2):23-26. </w:t>
      </w:r>
    </w:p>
    <w:p w:rsidR="00AC457E" w:rsidRPr="00935924" w:rsidRDefault="00AC457E" w:rsidP="008F43FE">
      <w:pPr>
        <w:pStyle w:val="Default"/>
        <w:spacing w:afterLines="100" w:after="240"/>
        <w:jc w:val="both"/>
      </w:pPr>
      <w:r w:rsidRPr="00935924">
        <w:t xml:space="preserve">9. Ahmad Z. Toxicity bioassay and effects of sub-lethal exposure of malathion on biochemical composition and haematological parameters of </w:t>
      </w:r>
      <w:r w:rsidRPr="00935924">
        <w:rPr>
          <w:i/>
          <w:iCs/>
        </w:rPr>
        <w:t>Clarias gariepinus</w:t>
      </w:r>
      <w:r w:rsidRPr="00935924">
        <w:t xml:space="preserve">. African Journal of Biotechnology. 2012; 11(34):8578-8585. </w:t>
      </w:r>
    </w:p>
    <w:p w:rsidR="00AC457E" w:rsidRPr="00935924" w:rsidRDefault="00AC457E" w:rsidP="008F43FE">
      <w:pPr>
        <w:pStyle w:val="Default"/>
        <w:spacing w:afterLines="100" w:after="240"/>
        <w:jc w:val="both"/>
      </w:pPr>
      <w:r w:rsidRPr="00935924">
        <w:t xml:space="preserve">10. Ullah S, Begum M, Dhama K, Ahmad S, Hassan S, Alam I </w:t>
      </w:r>
      <w:r w:rsidRPr="00935924">
        <w:rPr>
          <w:i/>
          <w:iCs/>
        </w:rPr>
        <w:t>et al</w:t>
      </w:r>
      <w:r w:rsidRPr="00935924">
        <w:t xml:space="preserve">. Malathion induced DNA damage in freshwater fish, </w:t>
      </w:r>
      <w:r w:rsidRPr="00935924">
        <w:rPr>
          <w:i/>
          <w:iCs/>
        </w:rPr>
        <w:t xml:space="preserve">Labeo rohita </w:t>
      </w:r>
      <w:r w:rsidRPr="00935924">
        <w:t xml:space="preserve">(Hamilton, 1822) using alkaline single cell gel electrophoresis. Asian Journal of Animal and Veterinary Advances. 2016; 11(2):98-105. </w:t>
      </w:r>
    </w:p>
    <w:p w:rsidR="00AC457E" w:rsidRPr="00935924" w:rsidRDefault="00AC457E" w:rsidP="008F43FE">
      <w:pPr>
        <w:pStyle w:val="Default"/>
        <w:spacing w:afterLines="100" w:after="240"/>
        <w:jc w:val="both"/>
      </w:pPr>
      <w:r w:rsidRPr="00935924">
        <w:t xml:space="preserve">11. Pugazhvendan SR, Narendiran NJ, Kumaran RG, Kumaran S, Alagappan KM. Effect of malathion toxicity in the freshwater fish </w:t>
      </w:r>
      <w:r w:rsidRPr="00935924">
        <w:rPr>
          <w:i/>
          <w:iCs/>
        </w:rPr>
        <w:t xml:space="preserve">Ophiocephalus punctatus </w:t>
      </w:r>
      <w:r w:rsidRPr="00935924">
        <w:t xml:space="preserve">- A histological and histochemical study. World Journal of Fish and Marine Sciences. 2009; 1(3):218-224. </w:t>
      </w:r>
    </w:p>
    <w:p w:rsidR="00AC457E" w:rsidRPr="00935924" w:rsidRDefault="00AC457E" w:rsidP="008F43FE">
      <w:pPr>
        <w:pStyle w:val="Default"/>
        <w:spacing w:afterLines="100" w:after="240"/>
        <w:jc w:val="both"/>
      </w:pPr>
      <w:r w:rsidRPr="00935924">
        <w:t xml:space="preserve">12. APHA. Standard methods for the examination of water and waste water, 20th Edition, Washington, DC, 1998. </w:t>
      </w:r>
    </w:p>
    <w:p w:rsidR="00AC457E" w:rsidRPr="00935924" w:rsidRDefault="00AC457E" w:rsidP="008F43FE">
      <w:pPr>
        <w:pStyle w:val="Default"/>
        <w:spacing w:afterLines="100" w:after="240"/>
        <w:jc w:val="both"/>
      </w:pPr>
      <w:r w:rsidRPr="00935924">
        <w:t xml:space="preserve">13. Finney DJ. Probit analysis, 3rd (Ed.), Cambridge University Press, London, 1971, 333. </w:t>
      </w:r>
    </w:p>
    <w:p w:rsidR="00AC457E" w:rsidRPr="00935924" w:rsidRDefault="00AC457E" w:rsidP="008F43FE">
      <w:pPr>
        <w:pStyle w:val="Default"/>
        <w:spacing w:afterLines="100" w:after="240"/>
        <w:jc w:val="both"/>
      </w:pPr>
      <w:r w:rsidRPr="00935924">
        <w:t xml:space="preserve">14. OECD. Guidelines for the testing of chemicals 203.Fish, acute toxicity test. OECD, Paris, 1992. </w:t>
      </w:r>
    </w:p>
    <w:p w:rsidR="00AC457E" w:rsidRPr="00935924" w:rsidRDefault="00AC457E" w:rsidP="008F43FE">
      <w:pPr>
        <w:pStyle w:val="Default"/>
        <w:spacing w:afterLines="100" w:after="240"/>
        <w:jc w:val="both"/>
      </w:pPr>
      <w:r w:rsidRPr="00935924">
        <w:t xml:space="preserve">15. Rand GM, Wells PG, McCarty LS. Introduction to aquatic toxicology. In: Fundamental of aquatic toxicology: Effects, environmental fate and risk </w:t>
      </w:r>
    </w:p>
    <w:p w:rsidR="00AC457E" w:rsidRPr="00935924" w:rsidRDefault="00AC457E" w:rsidP="008F43FE">
      <w:pPr>
        <w:pStyle w:val="Default"/>
        <w:spacing w:afterLines="100" w:after="240"/>
        <w:jc w:val="both"/>
      </w:pPr>
      <w:r w:rsidRPr="00935924">
        <w:t xml:space="preserve">assessment; Taylor and Francis, 1995, 3-67. </w:t>
      </w:r>
    </w:p>
    <w:p w:rsidR="00AC457E" w:rsidRPr="00935924" w:rsidRDefault="00AC457E" w:rsidP="008F43FE">
      <w:pPr>
        <w:pStyle w:val="Default"/>
        <w:spacing w:afterLines="100" w:after="240"/>
        <w:jc w:val="both"/>
      </w:pPr>
      <w:r w:rsidRPr="00935924">
        <w:t xml:space="preserve">16. Barton BA. Stress in fishes: A diversity of responses with particular reference to changes in circulating corticosteroids. Integrative Comparative Biology. 2002; 42:517-525. </w:t>
      </w:r>
    </w:p>
    <w:p w:rsidR="00AC457E" w:rsidRPr="00935924" w:rsidRDefault="00AC457E" w:rsidP="008F43FE">
      <w:pPr>
        <w:pStyle w:val="Default"/>
        <w:spacing w:afterLines="100" w:after="240"/>
        <w:jc w:val="both"/>
      </w:pPr>
      <w:r w:rsidRPr="00935924">
        <w:t>17. Hopkins WA, Snodgrass JW, Staub BP, Jackson BP, Congdon JD. Altered swimming performance of a benthic fish (</w:t>
      </w:r>
      <w:r w:rsidRPr="00935924">
        <w:rPr>
          <w:i/>
          <w:iCs/>
        </w:rPr>
        <w:t>Erimyzon sucetta</w:t>
      </w:r>
      <w:r w:rsidRPr="00935924">
        <w:t xml:space="preserve">) exposed to contaminated sediments. Archives of Environmental Contamination and Toxicology. 2003; 44:383-389. </w:t>
      </w:r>
    </w:p>
    <w:p w:rsidR="00AC457E" w:rsidRPr="00935924" w:rsidRDefault="00AC457E" w:rsidP="008F43FE">
      <w:pPr>
        <w:pStyle w:val="Default"/>
        <w:spacing w:afterLines="100" w:after="240"/>
        <w:jc w:val="both"/>
      </w:pPr>
      <w:r w:rsidRPr="00935924">
        <w:lastRenderedPageBreak/>
        <w:t xml:space="preserve">18. Sumi N, Chitra KC. Impact of fullerene C60 on behavioural and haematological changes in the freshwater fish, </w:t>
      </w:r>
      <w:r w:rsidRPr="00935924">
        <w:rPr>
          <w:i/>
          <w:iCs/>
        </w:rPr>
        <w:t xml:space="preserve">Anabas testudineus </w:t>
      </w:r>
      <w:r w:rsidRPr="00935924">
        <w:t xml:space="preserve">(Bloch, 1792). Applied Nanoscience. 2019; 9(8):2147-2167. </w:t>
      </w:r>
    </w:p>
    <w:p w:rsidR="00AC457E" w:rsidRPr="00935924" w:rsidRDefault="00AC457E" w:rsidP="008F43FE">
      <w:pPr>
        <w:pStyle w:val="Default"/>
        <w:spacing w:afterLines="100" w:after="240"/>
        <w:jc w:val="both"/>
      </w:pPr>
      <w:r w:rsidRPr="00935924">
        <w:t xml:space="preserve">19. Asifa KP, Chitra KC. Evaluation of LC50 and behavioural responses of bisphenol A in the cichlid fish, </w:t>
      </w:r>
      <w:r w:rsidRPr="00935924">
        <w:rPr>
          <w:i/>
          <w:iCs/>
        </w:rPr>
        <w:t>Etroplus maculatus</w:t>
      </w:r>
      <w:r w:rsidRPr="00935924">
        <w:t xml:space="preserve">. International Journal of Current Research. 2015; 7(6):16725-16729. </w:t>
      </w:r>
    </w:p>
    <w:p w:rsidR="00AC457E" w:rsidRPr="00935924" w:rsidRDefault="00AC457E" w:rsidP="008F43FE">
      <w:pPr>
        <w:pStyle w:val="Default"/>
        <w:spacing w:afterLines="100" w:after="240"/>
        <w:jc w:val="both"/>
      </w:pPr>
      <w:r w:rsidRPr="00935924">
        <w:t xml:space="preserve">20. Raibeemol KP, Chitra KC. A study on median lethal concentration and behavioural responses of cichlid fish, </w:t>
      </w:r>
      <w:r w:rsidRPr="00935924">
        <w:rPr>
          <w:i/>
          <w:iCs/>
        </w:rPr>
        <w:t xml:space="preserve">Etroplus maculatus </w:t>
      </w:r>
      <w:r w:rsidRPr="00935924">
        <w:t xml:space="preserve">(Bloch, 1795) exposed to organophosphorus insecticide, chlorpyrifos. Global Journal for Research Analysis. 2015; 4(11):15-17. </w:t>
      </w:r>
    </w:p>
    <w:p w:rsidR="00AC457E" w:rsidRPr="00935924" w:rsidRDefault="00AC457E" w:rsidP="008F43FE">
      <w:pPr>
        <w:pStyle w:val="Default"/>
        <w:spacing w:afterLines="100" w:after="240"/>
        <w:jc w:val="both"/>
      </w:pPr>
    </w:p>
    <w:p w:rsidR="00AC457E" w:rsidRPr="00935924" w:rsidRDefault="00AC457E" w:rsidP="008F43FE">
      <w:pPr>
        <w:spacing w:afterLines="100" w:after="240"/>
        <w:jc w:val="both"/>
        <w:rPr>
          <w:rFonts w:ascii="Times New Roman" w:hAnsi="Times New Roman" w:cs="Times New Roman"/>
          <w:sz w:val="24"/>
          <w:szCs w:val="24"/>
        </w:rPr>
      </w:pPr>
    </w:p>
    <w:sectPr w:rsidR="00AC457E" w:rsidRPr="00935924" w:rsidSect="00FC6D5A">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0CA9" w:rsidRDefault="000D0CA9" w:rsidP="00F13AD2">
      <w:pPr>
        <w:spacing w:after="0" w:line="240" w:lineRule="auto"/>
      </w:pPr>
      <w:r>
        <w:separator/>
      </w:r>
    </w:p>
  </w:endnote>
  <w:endnote w:type="continuationSeparator" w:id="0">
    <w:p w:rsidR="000D0CA9" w:rsidRDefault="000D0CA9" w:rsidP="00F1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0CA9" w:rsidRDefault="000D0CA9" w:rsidP="00F13AD2">
      <w:pPr>
        <w:spacing w:after="0" w:line="240" w:lineRule="auto"/>
      </w:pPr>
      <w:r>
        <w:separator/>
      </w:r>
    </w:p>
  </w:footnote>
  <w:footnote w:type="continuationSeparator" w:id="0">
    <w:p w:rsidR="000D0CA9" w:rsidRDefault="000D0CA9" w:rsidP="00F13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B94"/>
    <w:rsid w:val="000A6E38"/>
    <w:rsid w:val="000D0CA9"/>
    <w:rsid w:val="000E7A6E"/>
    <w:rsid w:val="001B0838"/>
    <w:rsid w:val="001B5AC4"/>
    <w:rsid w:val="00212B94"/>
    <w:rsid w:val="00267DF6"/>
    <w:rsid w:val="0027453D"/>
    <w:rsid w:val="00292C3C"/>
    <w:rsid w:val="00364D47"/>
    <w:rsid w:val="003D2031"/>
    <w:rsid w:val="004E0183"/>
    <w:rsid w:val="00520444"/>
    <w:rsid w:val="00593EBD"/>
    <w:rsid w:val="005A3FFF"/>
    <w:rsid w:val="00633180"/>
    <w:rsid w:val="007558D9"/>
    <w:rsid w:val="007B006B"/>
    <w:rsid w:val="007B0D83"/>
    <w:rsid w:val="007C40AE"/>
    <w:rsid w:val="00883EA2"/>
    <w:rsid w:val="008F43FE"/>
    <w:rsid w:val="0092428E"/>
    <w:rsid w:val="00935924"/>
    <w:rsid w:val="00940423"/>
    <w:rsid w:val="009F4966"/>
    <w:rsid w:val="00AB1BAD"/>
    <w:rsid w:val="00AC457E"/>
    <w:rsid w:val="00B11547"/>
    <w:rsid w:val="00BE3AA3"/>
    <w:rsid w:val="00C31775"/>
    <w:rsid w:val="00C80D6B"/>
    <w:rsid w:val="00CB397B"/>
    <w:rsid w:val="00CE55FC"/>
    <w:rsid w:val="00D47C7B"/>
    <w:rsid w:val="00E64FB9"/>
    <w:rsid w:val="00EC0CF3"/>
    <w:rsid w:val="00EF0B98"/>
    <w:rsid w:val="00F13AD2"/>
    <w:rsid w:val="00F51F22"/>
    <w:rsid w:val="00FC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3ED4"/>
  <w15:docId w15:val="{331BC3DE-558E-45C1-B7EA-82961B1B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B9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64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B9"/>
    <w:rPr>
      <w:rFonts w:ascii="Tahoma" w:hAnsi="Tahoma" w:cs="Tahoma"/>
      <w:sz w:val="16"/>
      <w:szCs w:val="16"/>
    </w:rPr>
  </w:style>
  <w:style w:type="paragraph" w:styleId="Header">
    <w:name w:val="header"/>
    <w:basedOn w:val="Normal"/>
    <w:link w:val="HeaderChar"/>
    <w:uiPriority w:val="99"/>
    <w:unhideWhenUsed/>
    <w:rsid w:val="00F13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AD2"/>
  </w:style>
  <w:style w:type="paragraph" w:styleId="Footer">
    <w:name w:val="footer"/>
    <w:basedOn w:val="Normal"/>
    <w:link w:val="FooterChar"/>
    <w:uiPriority w:val="99"/>
    <w:unhideWhenUsed/>
    <w:rsid w:val="00F13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AD2"/>
  </w:style>
  <w:style w:type="character" w:styleId="Emphasis">
    <w:name w:val="Emphasis"/>
    <w:basedOn w:val="DefaultParagraphFont"/>
    <w:uiPriority w:val="20"/>
    <w:qFormat/>
    <w:rsid w:val="007B0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shafi shaikh</cp:lastModifiedBy>
  <cp:revision>41</cp:revision>
  <dcterms:created xsi:type="dcterms:W3CDTF">2023-06-06T09:19:00Z</dcterms:created>
  <dcterms:modified xsi:type="dcterms:W3CDTF">2023-06-15T11:02:00Z</dcterms:modified>
</cp:coreProperties>
</file>