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874" w:rsidRPr="00B776F8" w:rsidRDefault="00AB3874" w:rsidP="00AB3874">
      <w:pPr>
        <w:jc w:val="center"/>
        <w:rPr>
          <w:rFonts w:ascii="Garamond" w:hAnsi="Garamond" w:cstheme="minorHAnsi"/>
          <w:b/>
          <w:sz w:val="28"/>
          <w:szCs w:val="28"/>
          <w:lang w:val="en-US"/>
        </w:rPr>
      </w:pPr>
      <w:r w:rsidRPr="00B776F8">
        <w:rPr>
          <w:rStyle w:val="Hyperlink"/>
          <w:rFonts w:ascii="Garamond" w:hAnsi="Garamond" w:cstheme="minorHAnsi"/>
          <w:b/>
          <w:bCs/>
          <w:color w:val="auto"/>
          <w:sz w:val="28"/>
          <w:szCs w:val="28"/>
          <w:u w:val="none"/>
          <w:bdr w:val="none" w:sz="0" w:space="0" w:color="auto" w:frame="1"/>
          <w:shd w:val="clear" w:color="auto" w:fill="FFFFFF"/>
        </w:rPr>
        <w:fldChar w:fldCharType="begin"/>
      </w:r>
      <w:r w:rsidRPr="00B776F8">
        <w:rPr>
          <w:rStyle w:val="Hyperlink"/>
          <w:rFonts w:ascii="Garamond" w:hAnsi="Garamond" w:cstheme="minorHAnsi"/>
          <w:b/>
          <w:bCs/>
          <w:color w:val="auto"/>
          <w:sz w:val="28"/>
          <w:szCs w:val="28"/>
          <w:u w:val="none"/>
          <w:bdr w:val="none" w:sz="0" w:space="0" w:color="auto" w:frame="1"/>
          <w:shd w:val="clear" w:color="auto" w:fill="FFFFFF"/>
        </w:rPr>
        <w:instrText xml:space="preserve"> HYPERLINK "https://www.researchgate.net/publication/370045366_Assessing_the_Effectiveness_of_the_Major_Welfare_Schemes_of_West_Bengal_A_Geographical_Appraisal?_iepl%5BgeneralViewId%5D=W0z2L7BtqfkhcuIgncI2WgFtH17k8Xn7EgTA&amp;_iepl%5Bcontexts%5D%5B0%5D=searchReact&amp;_iepl%5BviewId%5D=jc4mfH3Bt8VkKF1m1ZdM5fQDQkWUAFrk9y7o&amp;_iepl%5BsearchType%5D=publication&amp;_iepl%5Bdata%5D%5BcountLessEqual20%5D=1&amp;_iepl%5Bdata%5D%5BinteractedWithPosition8%5D=1&amp;_iepl%5Bdata%5D%5BwithoutEnrichment%5D=1&amp;_iepl%5Bposition%5D=8&amp;_iepl%5BrgKey%5D=PB%3A370045366&amp;_iepl%5BtargetEntityId%5D=PB%3A370045366&amp;_iepl%5BinteractionType%5D=publicationTitle" </w:instrText>
      </w:r>
      <w:r w:rsidRPr="00B776F8">
        <w:rPr>
          <w:rStyle w:val="Hyperlink"/>
          <w:rFonts w:ascii="Garamond" w:hAnsi="Garamond" w:cstheme="minorHAnsi"/>
          <w:b/>
          <w:bCs/>
          <w:color w:val="auto"/>
          <w:sz w:val="28"/>
          <w:szCs w:val="28"/>
          <w:u w:val="none"/>
          <w:bdr w:val="none" w:sz="0" w:space="0" w:color="auto" w:frame="1"/>
          <w:shd w:val="clear" w:color="auto" w:fill="FFFFFF"/>
        </w:rPr>
        <w:fldChar w:fldCharType="separate"/>
      </w:r>
      <w:r w:rsidRPr="00B776F8">
        <w:rPr>
          <w:rStyle w:val="Hyperlink"/>
          <w:rFonts w:ascii="Garamond" w:hAnsi="Garamond" w:cstheme="minorHAnsi"/>
          <w:b/>
          <w:bCs/>
          <w:color w:val="auto"/>
          <w:sz w:val="28"/>
          <w:szCs w:val="28"/>
          <w:u w:val="none"/>
          <w:bdr w:val="none" w:sz="0" w:space="0" w:color="auto" w:frame="1"/>
          <w:shd w:val="clear" w:color="auto" w:fill="FFFFFF"/>
        </w:rPr>
        <w:t>Assessing the Effectiveness of the</w:t>
      </w:r>
      <w:r w:rsidRPr="00B776F8">
        <w:rPr>
          <w:rStyle w:val="Hyperlink"/>
          <w:rFonts w:ascii="Garamond" w:hAnsi="Garamond" w:cstheme="minorHAnsi"/>
          <w:b/>
          <w:bCs/>
          <w:color w:val="auto"/>
          <w:sz w:val="28"/>
          <w:szCs w:val="28"/>
          <w:u w:val="none"/>
          <w:bdr w:val="none" w:sz="0" w:space="0" w:color="auto" w:frame="1"/>
          <w:shd w:val="clear" w:color="auto" w:fill="FFFFFF"/>
        </w:rPr>
        <w:fldChar w:fldCharType="end"/>
      </w:r>
      <w:r w:rsidRPr="00B776F8">
        <w:rPr>
          <w:rFonts w:ascii="Garamond" w:hAnsi="Garamond" w:cstheme="minorHAnsi"/>
          <w:b/>
          <w:sz w:val="28"/>
          <w:szCs w:val="28"/>
          <w:lang w:val="en-US"/>
        </w:rPr>
        <w:t xml:space="preserve"> NEP in Higher Educational Gross Enrollment Ratio in India.</w:t>
      </w:r>
    </w:p>
    <w:p w:rsidR="00AB3874" w:rsidRDefault="00AB3874" w:rsidP="00AB3874">
      <w:pPr>
        <w:jc w:val="center"/>
        <w:rPr>
          <w:rFonts w:ascii="Garamond" w:hAnsi="Garamond" w:cstheme="minorHAnsi"/>
          <w:b/>
          <w:sz w:val="28"/>
          <w:szCs w:val="28"/>
          <w:lang w:val="en-US"/>
        </w:rPr>
      </w:pPr>
      <w:r w:rsidRPr="00B776F8">
        <w:rPr>
          <w:rFonts w:ascii="Garamond" w:hAnsi="Garamond" w:cstheme="minorHAnsi"/>
          <w:b/>
          <w:sz w:val="28"/>
          <w:szCs w:val="28"/>
          <w:lang w:val="en-US"/>
        </w:rPr>
        <w:t xml:space="preserve">Vijayalakshmi </w:t>
      </w:r>
      <w:proofErr w:type="spellStart"/>
      <w:r w:rsidRPr="00B776F8">
        <w:rPr>
          <w:rFonts w:ascii="Garamond" w:hAnsi="Garamond" w:cstheme="minorHAnsi"/>
          <w:b/>
          <w:sz w:val="28"/>
          <w:szCs w:val="28"/>
          <w:lang w:val="en-US"/>
        </w:rPr>
        <w:t>Narasimhan</w:t>
      </w:r>
      <w:proofErr w:type="spellEnd"/>
      <w:r w:rsidRPr="00B776F8">
        <w:rPr>
          <w:rFonts w:ascii="Garamond" w:hAnsi="Garamond" w:cstheme="minorHAnsi"/>
          <w:b/>
          <w:sz w:val="28"/>
          <w:szCs w:val="28"/>
          <w:lang w:val="en-US"/>
        </w:rPr>
        <w:t xml:space="preserve">, </w:t>
      </w:r>
      <w:proofErr w:type="gramStart"/>
      <w:r w:rsidRPr="00B776F8">
        <w:rPr>
          <w:rFonts w:ascii="Garamond" w:hAnsi="Garamond" w:cstheme="minorHAnsi"/>
          <w:b/>
          <w:sz w:val="28"/>
          <w:szCs w:val="28"/>
          <w:lang w:val="en-US"/>
        </w:rPr>
        <w:t>MBA ,</w:t>
      </w:r>
      <w:proofErr w:type="gramEnd"/>
      <w:r w:rsidRPr="00B776F8">
        <w:rPr>
          <w:rFonts w:ascii="Garamond" w:hAnsi="Garamond" w:cstheme="minorHAnsi"/>
          <w:b/>
          <w:sz w:val="28"/>
          <w:szCs w:val="28"/>
          <w:lang w:val="en-US"/>
        </w:rPr>
        <w:t xml:space="preserve"> M.Phil.</w:t>
      </w:r>
    </w:p>
    <w:p w:rsidR="00B776F8" w:rsidRPr="00B776F8" w:rsidRDefault="00B776F8" w:rsidP="00AB3874">
      <w:pPr>
        <w:jc w:val="center"/>
        <w:rPr>
          <w:rFonts w:ascii="Garamond" w:hAnsi="Garamond" w:cstheme="minorHAnsi"/>
          <w:b/>
          <w:sz w:val="28"/>
          <w:szCs w:val="28"/>
          <w:lang w:val="en-US"/>
        </w:rPr>
      </w:pPr>
      <w:r>
        <w:rPr>
          <w:rFonts w:ascii="Garamond" w:hAnsi="Garamond" w:cstheme="minorHAnsi"/>
          <w:b/>
          <w:sz w:val="28"/>
          <w:szCs w:val="28"/>
          <w:lang w:val="en-US"/>
        </w:rPr>
        <w:t>Vijayalakshmi.l@vit.ac.in</w:t>
      </w:r>
    </w:p>
    <w:p w:rsidR="00AB3874" w:rsidRPr="00B776F8" w:rsidRDefault="00AB3874" w:rsidP="00AB3874">
      <w:pPr>
        <w:jc w:val="center"/>
        <w:rPr>
          <w:rFonts w:ascii="Garamond" w:hAnsi="Garamond" w:cstheme="minorHAnsi"/>
          <w:b/>
          <w:sz w:val="28"/>
          <w:szCs w:val="28"/>
          <w:lang w:val="en-US"/>
        </w:rPr>
      </w:pPr>
      <w:r w:rsidRPr="00B776F8">
        <w:rPr>
          <w:rFonts w:ascii="Garamond" w:hAnsi="Garamond" w:cstheme="minorHAnsi"/>
          <w:b/>
          <w:sz w:val="28"/>
          <w:szCs w:val="28"/>
          <w:lang w:val="en-US"/>
        </w:rPr>
        <w:t xml:space="preserve">Vellore Institute of Technology, Vellore, Tamil Nadu </w:t>
      </w:r>
    </w:p>
    <w:p w:rsidR="00AB3874" w:rsidRPr="00B776F8" w:rsidRDefault="00AB3874" w:rsidP="00AB3874">
      <w:pPr>
        <w:rPr>
          <w:rFonts w:ascii="Garamond" w:hAnsi="Garamond" w:cstheme="minorHAnsi"/>
          <w:b/>
          <w:sz w:val="28"/>
          <w:szCs w:val="28"/>
          <w:u w:val="single"/>
        </w:rPr>
      </w:pPr>
    </w:p>
    <w:p w:rsidR="00E52AFE" w:rsidRPr="00B776F8" w:rsidRDefault="00E52AFE" w:rsidP="00AB3874">
      <w:pPr>
        <w:rPr>
          <w:rFonts w:ascii="Garamond" w:hAnsi="Garamond" w:cstheme="minorHAnsi"/>
          <w:b/>
          <w:sz w:val="28"/>
          <w:szCs w:val="28"/>
          <w:u w:val="single"/>
        </w:rPr>
      </w:pPr>
      <w:r w:rsidRPr="00B776F8">
        <w:rPr>
          <w:rFonts w:ascii="Garamond" w:hAnsi="Garamond" w:cstheme="minorHAnsi"/>
          <w:b/>
          <w:sz w:val="28"/>
          <w:szCs w:val="28"/>
          <w:u w:val="single"/>
        </w:rPr>
        <w:t>Abstract</w:t>
      </w:r>
    </w:p>
    <w:p w:rsidR="003B2DC4" w:rsidRPr="00B776F8" w:rsidRDefault="003B2DC4">
      <w:pPr>
        <w:rPr>
          <w:rFonts w:ascii="Garamond" w:hAnsi="Garamond" w:cstheme="minorHAnsi"/>
          <w:color w:val="202020"/>
          <w:sz w:val="28"/>
          <w:szCs w:val="28"/>
          <w:shd w:val="clear" w:color="auto" w:fill="FFFFFF"/>
        </w:rPr>
      </w:pPr>
      <w:r w:rsidRPr="00B776F8">
        <w:rPr>
          <w:rFonts w:ascii="Garamond" w:hAnsi="Garamond" w:cstheme="minorHAnsi"/>
          <w:sz w:val="28"/>
          <w:szCs w:val="28"/>
        </w:rPr>
        <w:t>The objective of National Education Policy (NEP) is to bring about new significant valuable changes in the Indian education system.</w:t>
      </w:r>
      <w:r w:rsidRPr="00B776F8">
        <w:rPr>
          <w:rFonts w:ascii="Garamond" w:hAnsi="Garamond" w:cstheme="minorHAnsi"/>
          <w:color w:val="202020"/>
          <w:sz w:val="28"/>
          <w:szCs w:val="28"/>
          <w:shd w:val="clear" w:color="auto" w:fill="FFFFFF"/>
        </w:rPr>
        <w:t xml:space="preserve"> One of the key indicators of the effectiveness of this policy is the Gross Enrolment Ratio (GER) in Higher Education Institutions (HEIs). This document seeks to assess the impact and effectiveness of the NEP on the GER in HEIs.</w:t>
      </w:r>
    </w:p>
    <w:p w:rsidR="003B2DC4" w:rsidRPr="00B776F8" w:rsidRDefault="003B2DC4">
      <w:pPr>
        <w:rPr>
          <w:rFonts w:ascii="Garamond" w:hAnsi="Garamond" w:cstheme="minorHAnsi"/>
          <w:color w:val="202020"/>
          <w:sz w:val="28"/>
          <w:szCs w:val="28"/>
          <w:shd w:val="clear" w:color="auto" w:fill="FFFFFF"/>
        </w:rPr>
      </w:pPr>
      <w:r w:rsidRPr="00B776F8">
        <w:rPr>
          <w:rFonts w:ascii="Garamond" w:hAnsi="Garamond" w:cstheme="minorHAnsi"/>
          <w:color w:val="202020"/>
          <w:sz w:val="28"/>
          <w:szCs w:val="28"/>
        </w:rPr>
        <w:br/>
      </w:r>
      <w:r w:rsidRPr="00B776F8">
        <w:rPr>
          <w:rFonts w:ascii="Garamond" w:hAnsi="Garamond" w:cstheme="minorHAnsi"/>
          <w:b/>
          <w:color w:val="202020"/>
          <w:sz w:val="28"/>
          <w:szCs w:val="28"/>
          <w:shd w:val="clear" w:color="auto" w:fill="FFFFFF"/>
        </w:rPr>
        <w:t>Keywords</w:t>
      </w:r>
      <w:r w:rsidRPr="00B776F8">
        <w:rPr>
          <w:rFonts w:ascii="Garamond" w:hAnsi="Garamond" w:cstheme="minorHAnsi"/>
          <w:color w:val="202020"/>
          <w:sz w:val="28"/>
          <w:szCs w:val="28"/>
          <w:shd w:val="clear" w:color="auto" w:fill="FFFFFF"/>
        </w:rPr>
        <w:t xml:space="preserve">: GER, Higher education , India, Student education , Quality education , Sustainable goals , Education, Indian Education , Enrolment, </w:t>
      </w:r>
      <w:r w:rsidR="00AB3874" w:rsidRPr="00B776F8">
        <w:rPr>
          <w:rFonts w:ascii="Garamond" w:hAnsi="Garamond" w:cstheme="minorHAnsi"/>
          <w:color w:val="202020"/>
          <w:sz w:val="28"/>
          <w:szCs w:val="28"/>
          <w:shd w:val="clear" w:color="auto" w:fill="FFFFFF"/>
        </w:rPr>
        <w:t xml:space="preserve">Admission. Gross enrolment Ratio, Development, </w:t>
      </w:r>
    </w:p>
    <w:p w:rsidR="00AB3874" w:rsidRPr="00B776F8" w:rsidRDefault="003B2DC4">
      <w:pPr>
        <w:rPr>
          <w:rFonts w:ascii="Garamond" w:hAnsi="Garamond" w:cstheme="minorHAnsi"/>
          <w:color w:val="202020"/>
          <w:sz w:val="28"/>
          <w:szCs w:val="28"/>
          <w:shd w:val="clear" w:color="auto" w:fill="FFFFFF"/>
        </w:rPr>
      </w:pPr>
      <w:r w:rsidRPr="00B776F8">
        <w:rPr>
          <w:rFonts w:ascii="Garamond" w:hAnsi="Garamond" w:cstheme="minorHAnsi"/>
          <w:b/>
          <w:color w:val="202020"/>
          <w:sz w:val="28"/>
          <w:szCs w:val="28"/>
        </w:rPr>
        <w:br/>
      </w:r>
      <w:r w:rsidR="00B776F8">
        <w:rPr>
          <w:rFonts w:ascii="Garamond" w:hAnsi="Garamond" w:cstheme="minorHAnsi"/>
          <w:b/>
          <w:color w:val="202020"/>
          <w:sz w:val="28"/>
          <w:szCs w:val="28"/>
          <w:shd w:val="clear" w:color="auto" w:fill="FFFFFF"/>
        </w:rPr>
        <w:t>1.</w:t>
      </w:r>
      <w:r w:rsidR="00B776F8" w:rsidRPr="00B776F8">
        <w:rPr>
          <w:rFonts w:ascii="Garamond" w:hAnsi="Garamond" w:cstheme="minorHAnsi"/>
          <w:b/>
          <w:color w:val="202020"/>
          <w:sz w:val="28"/>
          <w:szCs w:val="28"/>
          <w:shd w:val="clear" w:color="auto" w:fill="FFFFFF"/>
        </w:rPr>
        <w:t xml:space="preserve"> Education</w:t>
      </w:r>
      <w:r w:rsidRPr="00B776F8">
        <w:rPr>
          <w:rFonts w:ascii="Garamond" w:hAnsi="Garamond" w:cstheme="minorHAnsi"/>
          <w:b/>
          <w:color w:val="202020"/>
          <w:sz w:val="28"/>
          <w:szCs w:val="28"/>
          <w:shd w:val="clear" w:color="auto" w:fill="FFFFFF"/>
        </w:rPr>
        <w:t xml:space="preserve"> in India</w:t>
      </w:r>
      <w:r w:rsidRPr="00B776F8">
        <w:rPr>
          <w:rFonts w:ascii="Garamond" w:hAnsi="Garamond" w:cstheme="minorHAnsi"/>
          <w:color w:val="202020"/>
          <w:sz w:val="28"/>
          <w:szCs w:val="28"/>
        </w:rPr>
        <w:br/>
      </w:r>
      <w:r w:rsidRPr="00B776F8">
        <w:rPr>
          <w:rFonts w:ascii="Garamond" w:hAnsi="Garamond" w:cstheme="minorHAnsi"/>
          <w:color w:val="202020"/>
          <w:sz w:val="28"/>
          <w:szCs w:val="28"/>
          <w:shd w:val="clear" w:color="auto" w:fill="FFFFFF"/>
        </w:rPr>
        <w:t>Education in India is set to undergo significant changes by the year 2023. The Indian government has set a target of achieving a Gross Enrolment Ratio (GER) of 30% in higher education by 2023. This ambitious goal is part of the government's larger vision of transforming India into a knowledge-based economy. To achieve this goal, the government has taken several measures. One of the key measures is the establishment of new higher education institutions across the country.</w:t>
      </w:r>
      <w:r w:rsidRPr="00B776F8">
        <w:rPr>
          <w:rFonts w:ascii="Garamond" w:hAnsi="Garamond" w:cstheme="minorHAnsi"/>
          <w:color w:val="202020"/>
          <w:sz w:val="28"/>
          <w:szCs w:val="28"/>
        </w:rPr>
        <w:br/>
      </w:r>
      <w:r w:rsidRPr="00B776F8">
        <w:rPr>
          <w:rFonts w:ascii="Garamond" w:hAnsi="Garamond" w:cstheme="minorHAnsi"/>
          <w:color w:val="202020"/>
          <w:sz w:val="28"/>
          <w:szCs w:val="28"/>
          <w:shd w:val="clear" w:color="auto" w:fill="FFFFFF"/>
        </w:rPr>
        <w:t>Another noteworthy development in the education sector is the University Grants Commission (UGC) bringing a necessary draft. This is a positive step towards ensuring that the quality of education in the country continues to improve. The UGC has always played a crucial role in monitoring and regulating the functioning of universities and colleges, and this draft is likely to further strengthen its mandate. Overall, the increase in the number of universities and colleges, coupled with the growth in distance education enrolment, is a positive development for the education sector in the country. With the UGC's continued efforts to improve the quality of education, we can expect to see further progress in the years to come.</w:t>
      </w:r>
    </w:p>
    <w:p w:rsidR="00AB3874" w:rsidRPr="00B776F8" w:rsidRDefault="003B2DC4">
      <w:pPr>
        <w:rPr>
          <w:rFonts w:ascii="Garamond" w:hAnsi="Garamond" w:cstheme="minorHAnsi"/>
          <w:color w:val="202020"/>
          <w:sz w:val="28"/>
          <w:szCs w:val="28"/>
          <w:shd w:val="clear" w:color="auto" w:fill="FFFFFF"/>
        </w:rPr>
      </w:pPr>
      <w:r w:rsidRPr="00B776F8">
        <w:rPr>
          <w:rFonts w:ascii="Garamond" w:hAnsi="Garamond" w:cstheme="minorHAnsi"/>
          <w:color w:val="202020"/>
          <w:sz w:val="28"/>
          <w:szCs w:val="28"/>
        </w:rPr>
        <w:br/>
      </w:r>
      <w:r w:rsidR="00B776F8">
        <w:rPr>
          <w:rFonts w:ascii="Garamond" w:hAnsi="Garamond" w:cstheme="minorHAnsi"/>
          <w:b/>
          <w:color w:val="202020"/>
          <w:sz w:val="28"/>
          <w:szCs w:val="28"/>
          <w:shd w:val="clear" w:color="auto" w:fill="FFFFFF"/>
        </w:rPr>
        <w:t>2.</w:t>
      </w:r>
      <w:r w:rsidR="00B776F8" w:rsidRPr="00B776F8">
        <w:rPr>
          <w:rFonts w:ascii="Garamond" w:hAnsi="Garamond" w:cstheme="minorHAnsi"/>
          <w:b/>
          <w:color w:val="202020"/>
          <w:sz w:val="28"/>
          <w:szCs w:val="28"/>
          <w:shd w:val="clear" w:color="auto" w:fill="FFFFFF"/>
        </w:rPr>
        <w:t xml:space="preserve"> Gross</w:t>
      </w:r>
      <w:r w:rsidRPr="00B776F8">
        <w:rPr>
          <w:rFonts w:ascii="Garamond" w:hAnsi="Garamond" w:cstheme="minorHAnsi"/>
          <w:b/>
          <w:color w:val="202020"/>
          <w:sz w:val="28"/>
          <w:szCs w:val="28"/>
          <w:shd w:val="clear" w:color="auto" w:fill="FFFFFF"/>
        </w:rPr>
        <w:t xml:space="preserve"> Enrolment Ratio</w:t>
      </w:r>
      <w:r w:rsidRPr="00B776F8">
        <w:rPr>
          <w:rFonts w:ascii="Garamond" w:hAnsi="Garamond" w:cstheme="minorHAnsi"/>
          <w:color w:val="202020"/>
          <w:sz w:val="28"/>
          <w:szCs w:val="28"/>
          <w:shd w:val="clear" w:color="auto" w:fill="FFFFFF"/>
        </w:rPr>
        <w:t xml:space="preserve"> </w:t>
      </w:r>
    </w:p>
    <w:p w:rsidR="00DB03D0" w:rsidRPr="00B776F8" w:rsidRDefault="003B2DC4">
      <w:pPr>
        <w:rPr>
          <w:rFonts w:ascii="Garamond" w:hAnsi="Garamond" w:cstheme="minorHAnsi"/>
          <w:color w:val="202020"/>
          <w:sz w:val="28"/>
          <w:szCs w:val="28"/>
          <w:shd w:val="clear" w:color="auto" w:fill="FFFFFF"/>
        </w:rPr>
      </w:pPr>
      <w:r w:rsidRPr="00B776F8">
        <w:rPr>
          <w:rFonts w:ascii="Garamond" w:hAnsi="Garamond" w:cstheme="minorHAnsi"/>
          <w:color w:val="202020"/>
          <w:sz w:val="28"/>
          <w:szCs w:val="28"/>
        </w:rPr>
        <w:lastRenderedPageBreak/>
        <w:br/>
      </w:r>
      <w:r w:rsidRPr="00B776F8">
        <w:rPr>
          <w:rFonts w:ascii="Garamond" w:hAnsi="Garamond" w:cstheme="minorHAnsi"/>
          <w:color w:val="202020"/>
          <w:sz w:val="28"/>
          <w:szCs w:val="28"/>
          <w:shd w:val="clear" w:color="auto" w:fill="FFFFFF"/>
        </w:rPr>
        <w:t>Gross Enrolment Ratio (GER) is a statistical measure used to determine the number of students enrolled in a given level of education in a country. It is expressed as a percentage of the population belonging to the official age group for a particular level of education. GER is an essential tool for policymakers and education experts to understand the current state of education in a country. It is used to gauge the level of access to education, the quality of education provided, and the effectiveness of education policies.</w:t>
      </w:r>
      <w:r w:rsidRPr="00B776F8">
        <w:rPr>
          <w:rFonts w:ascii="Garamond" w:hAnsi="Garamond" w:cstheme="minorHAnsi"/>
          <w:color w:val="202020"/>
          <w:sz w:val="28"/>
          <w:szCs w:val="28"/>
        </w:rPr>
        <w:br/>
      </w:r>
      <w:r w:rsidRPr="00B776F8">
        <w:rPr>
          <w:rFonts w:ascii="Garamond" w:hAnsi="Garamond" w:cstheme="minorHAnsi"/>
          <w:color w:val="202020"/>
          <w:sz w:val="28"/>
          <w:szCs w:val="28"/>
          <w:shd w:val="clear" w:color="auto" w:fill="FFFFFF"/>
        </w:rPr>
        <w:t>GER is calculated by dividing the number of students enrolled in a particular level of education by the total population belonging to the official age group for that level of education, and then multiplying the result by 100.For example, if the total number of students enrolled in primary school in a country is 10 million, and the total population of children aged 6-11 years in that country is 15 million, then the GER for primary education is 66.7%.</w:t>
      </w:r>
      <w:r w:rsidRPr="00B776F8">
        <w:rPr>
          <w:rFonts w:ascii="Garamond" w:hAnsi="Garamond" w:cstheme="minorHAnsi"/>
          <w:color w:val="202020"/>
          <w:sz w:val="28"/>
          <w:szCs w:val="28"/>
        </w:rPr>
        <w:br/>
      </w:r>
      <w:r w:rsidRPr="00B776F8">
        <w:rPr>
          <w:rFonts w:ascii="Garamond" w:hAnsi="Garamond" w:cstheme="minorHAnsi"/>
          <w:color w:val="202020"/>
          <w:sz w:val="28"/>
          <w:szCs w:val="28"/>
          <w:shd w:val="clear" w:color="auto" w:fill="FFFFFF"/>
        </w:rPr>
        <w:t>GER is not only used to assess the current state of education in a country, but it is also used to track the progress of education policies and initiatives. By comparing the GER of different years, policymakers can determine whether their policies are having the desired effect and make necessary adjustments if needed. We can say that the Gross Enrolment Ratio (GER) is a crucial measure for assessing the state of education in a country. It provides valuable insights into the level of access to education, the quality of education provided, and the effectiveness of education policies.</w:t>
      </w:r>
    </w:p>
    <w:p w:rsidR="00AE011B" w:rsidRPr="00B776F8" w:rsidRDefault="00AE011B">
      <w:pPr>
        <w:rPr>
          <w:rFonts w:ascii="Garamond" w:hAnsi="Garamond" w:cstheme="minorHAnsi"/>
          <w:color w:val="202020"/>
          <w:sz w:val="28"/>
          <w:szCs w:val="28"/>
          <w:shd w:val="clear" w:color="auto" w:fill="FFFFFF"/>
        </w:rPr>
      </w:pPr>
      <w:r w:rsidRPr="00B776F8">
        <w:rPr>
          <w:rFonts w:ascii="Garamond" w:hAnsi="Garamond" w:cstheme="minorHAnsi"/>
          <w:color w:val="202020"/>
          <w:sz w:val="28"/>
          <w:szCs w:val="28"/>
          <w:shd w:val="clear" w:color="auto" w:fill="FFFFFF"/>
        </w:rPr>
        <w:t xml:space="preserve">The 2023 budget should include provisions that will help India reach </w:t>
      </w:r>
      <w:r w:rsidRPr="00B776F8">
        <w:rPr>
          <w:rFonts w:ascii="Garamond" w:hAnsi="Garamond" w:cstheme="minorHAnsi"/>
          <w:b/>
          <w:color w:val="202020"/>
          <w:sz w:val="28"/>
          <w:szCs w:val="28"/>
          <w:shd w:val="clear" w:color="auto" w:fill="FFFFFF"/>
        </w:rPr>
        <w:t>the NEP '20 goals and push India's gross enrolment ratio in higher education towards 50 percent by 2023</w:t>
      </w:r>
      <w:r w:rsidRPr="00B776F8">
        <w:rPr>
          <w:rFonts w:ascii="Garamond" w:hAnsi="Garamond" w:cstheme="minorHAnsi"/>
          <w:color w:val="202020"/>
          <w:sz w:val="28"/>
          <w:szCs w:val="28"/>
          <w:shd w:val="clear" w:color="auto" w:fill="FFFFFF"/>
        </w:rPr>
        <w:t>. It would be necessary to invest in organizations, technologies, and people who are engaged in online education at different levels in order to enable this to be achieved. It is hoped that policymakers will see the bigger picture and encourage organizations that want to reform the sector to be encouraged to do so.</w:t>
      </w:r>
    </w:p>
    <w:p w:rsidR="00AE011B" w:rsidRPr="00B776F8" w:rsidRDefault="00AE011B" w:rsidP="00AE011B">
      <w:pPr>
        <w:pStyle w:val="pb-2"/>
        <w:rPr>
          <w:rFonts w:ascii="Garamond" w:hAnsi="Garamond" w:cstheme="minorHAnsi"/>
          <w:sz w:val="28"/>
          <w:szCs w:val="28"/>
        </w:rPr>
      </w:pPr>
      <w:r w:rsidRPr="00B776F8">
        <w:rPr>
          <w:rFonts w:ascii="Garamond" w:hAnsi="Garamond" w:cstheme="minorHAnsi"/>
          <w:sz w:val="28"/>
          <w:szCs w:val="28"/>
        </w:rPr>
        <w:t>A great start to address the issue of expensive and unaffordable reskilling and upskilling courses would be to implement provisions for lower Goods and Services Tax (GST) rates on these courses. Currently, learners are burdened with an 18 percent GST, which significantly adds to the cost of these courses and restricts access for many individuals. By reducing the GST rates, these courses would become more affordable and accessible to a wider range of learners, particularly those who are financially unable to pursue formal higher education.</w:t>
      </w:r>
    </w:p>
    <w:p w:rsidR="00AE011B" w:rsidRPr="00B776F8" w:rsidRDefault="00AE011B" w:rsidP="00AE011B">
      <w:pPr>
        <w:pStyle w:val="pb-2"/>
        <w:rPr>
          <w:rFonts w:ascii="Garamond" w:hAnsi="Garamond" w:cstheme="minorHAnsi"/>
          <w:sz w:val="28"/>
          <w:szCs w:val="28"/>
        </w:rPr>
      </w:pPr>
      <w:r w:rsidRPr="00B776F8">
        <w:rPr>
          <w:rFonts w:ascii="Garamond" w:hAnsi="Garamond" w:cstheme="minorHAnsi"/>
          <w:sz w:val="28"/>
          <w:szCs w:val="28"/>
        </w:rPr>
        <w:t xml:space="preserve">Lowering the GST on reskilling and upskilling courses would have several positive implications. Firstly, it would encourage more individuals to invest in their professional development and acquire new skills. With the rapidly evolving job </w:t>
      </w:r>
      <w:r w:rsidRPr="00B776F8">
        <w:rPr>
          <w:rFonts w:ascii="Garamond" w:hAnsi="Garamond" w:cstheme="minorHAnsi"/>
          <w:sz w:val="28"/>
          <w:szCs w:val="28"/>
        </w:rPr>
        <w:lastRenderedPageBreak/>
        <w:t>market and the need for continuous learning, reskilling and upskilling have become crucial for career growth and adaptability. By making these courses more affordable, individuals from diverse backgrounds and economic capabilities would be able to participate and enhance their skill sets.</w:t>
      </w:r>
    </w:p>
    <w:p w:rsidR="00AE011B" w:rsidRPr="00B776F8" w:rsidRDefault="00AE011B" w:rsidP="00AE011B">
      <w:pPr>
        <w:pStyle w:val="pb-2"/>
        <w:rPr>
          <w:rFonts w:ascii="Garamond" w:hAnsi="Garamond" w:cstheme="minorHAnsi"/>
          <w:sz w:val="28"/>
          <w:szCs w:val="28"/>
        </w:rPr>
      </w:pPr>
      <w:r w:rsidRPr="00B776F8">
        <w:rPr>
          <w:rFonts w:ascii="Garamond" w:hAnsi="Garamond" w:cstheme="minorHAnsi"/>
          <w:sz w:val="28"/>
          <w:szCs w:val="28"/>
        </w:rPr>
        <w:t>Moreover, reducing the GST rates on these courses would contribute to the overall goal of a skilled workforce. As technology advances and industries transform, there is a growing demand for workers with specialized skills. However, the cost barrier currently associated with reskilling and upskilling courses limits the pool of potential learners. By making these courses more accessible, a broader spectrum of individuals, including those who may not have the means to pursue formal higher education, would have the opportunity to acquire valuable skills and contribute to the workforce.</w:t>
      </w:r>
    </w:p>
    <w:p w:rsidR="00AE011B" w:rsidRPr="00B776F8" w:rsidRDefault="00AE011B" w:rsidP="00AE011B">
      <w:pPr>
        <w:pStyle w:val="pb-2"/>
        <w:rPr>
          <w:rFonts w:ascii="Garamond" w:hAnsi="Garamond" w:cstheme="minorHAnsi"/>
          <w:sz w:val="28"/>
          <w:szCs w:val="28"/>
        </w:rPr>
      </w:pPr>
      <w:r w:rsidRPr="00B776F8">
        <w:rPr>
          <w:rFonts w:ascii="Garamond" w:hAnsi="Garamond" w:cstheme="minorHAnsi"/>
          <w:sz w:val="28"/>
          <w:szCs w:val="28"/>
        </w:rPr>
        <w:t>Furthermore, lowering the GST rates would also promote inclusivity and equal opportunities. Education is a powerful tool for social and economic mobility. However, the high cost of reskilling and upskilling courses creates a disadvantage for individuals from disadvantaged backgrounds. By reducing the financial burden, more learners from diverse socio-economic backgrounds would be able to enhance their skills and improve their employability prospects.</w:t>
      </w:r>
    </w:p>
    <w:p w:rsidR="00AE011B" w:rsidRPr="00B776F8" w:rsidRDefault="00AE011B" w:rsidP="00AE011B">
      <w:pPr>
        <w:pStyle w:val="pb-2"/>
        <w:rPr>
          <w:rFonts w:ascii="Garamond" w:hAnsi="Garamond" w:cstheme="minorHAnsi"/>
          <w:sz w:val="28"/>
          <w:szCs w:val="28"/>
        </w:rPr>
      </w:pPr>
      <w:r w:rsidRPr="00B776F8">
        <w:rPr>
          <w:rFonts w:ascii="Garamond" w:hAnsi="Garamond" w:cstheme="minorHAnsi"/>
          <w:sz w:val="28"/>
          <w:szCs w:val="28"/>
        </w:rPr>
        <w:t>In conclusion, implementing provisions for lower GST rates on reskilling and upskilling courses would be a significant step towards making these courses more affordable and accessible. By doing so, a broader spectrum of learners, especially those who are financially incapable of accessing formal higher education, would have the opportunity to acquire valuable skills and contribute to the workforce. It would also promote inclusivity and equal opportunities, enabling individuals from diverse backgrounds to enhance their employability and pursue career growth.</w:t>
      </w:r>
    </w:p>
    <w:p w:rsidR="00AB3874" w:rsidRPr="00B776F8" w:rsidRDefault="00AE011B">
      <w:pPr>
        <w:rPr>
          <w:rFonts w:ascii="Garamond" w:hAnsi="Garamond" w:cstheme="minorHAnsi"/>
          <w:color w:val="202020"/>
          <w:sz w:val="28"/>
          <w:szCs w:val="28"/>
          <w:shd w:val="clear" w:color="auto" w:fill="FFFFFF"/>
        </w:rPr>
      </w:pPr>
      <w:r w:rsidRPr="00B776F8">
        <w:rPr>
          <w:rFonts w:ascii="Garamond" w:hAnsi="Garamond" w:cstheme="minorHAnsi"/>
          <w:color w:val="202020"/>
          <w:sz w:val="28"/>
          <w:szCs w:val="28"/>
          <w:shd w:val="clear" w:color="auto" w:fill="FFFFFF"/>
        </w:rPr>
        <w:t>According to recent data, the total number of Universities and University-like institutions registered is 1,113. Additionally, there are 43,796 Colleges and 11,296 Standalone Institutions. This information highlights the vast number of educational institutions that exist within our society. The education provided by these institutions is crucial in shaping individuals and equipping them with the necessary knowledge and skills to succeed in their chosen fields. The presence of such a large number of institutions also indicates the importance and value placed on education in our society. It is essential to acknowledge the significant role played by these institutions in shaping the future of our society and the world at large. The information from the Press Information Bureau Government of India.</w:t>
      </w:r>
    </w:p>
    <w:p w:rsidR="00AB3874" w:rsidRPr="00B776F8" w:rsidRDefault="00AE011B">
      <w:pPr>
        <w:rPr>
          <w:rFonts w:ascii="Garamond" w:hAnsi="Garamond" w:cstheme="minorHAnsi"/>
          <w:color w:val="202020"/>
          <w:sz w:val="28"/>
          <w:szCs w:val="28"/>
          <w:shd w:val="clear" w:color="auto" w:fill="FFFFFF"/>
        </w:rPr>
      </w:pPr>
      <w:r w:rsidRPr="00B776F8">
        <w:rPr>
          <w:rFonts w:ascii="Garamond" w:hAnsi="Garamond" w:cstheme="minorHAnsi"/>
          <w:color w:val="202020"/>
          <w:sz w:val="28"/>
          <w:szCs w:val="28"/>
        </w:rPr>
        <w:br/>
      </w:r>
      <w:r w:rsidRPr="00B776F8">
        <w:rPr>
          <w:rFonts w:ascii="Garamond" w:hAnsi="Garamond" w:cstheme="minorHAnsi"/>
          <w:color w:val="202020"/>
          <w:sz w:val="28"/>
          <w:szCs w:val="28"/>
          <w:shd w:val="clear" w:color="auto" w:fill="FFFFFF"/>
        </w:rPr>
        <w:t xml:space="preserve">According to the latest data available, the Indian states of Rajasthan, Uttar Pradesh, and Gujarat have the highest number of universities in the country. Rajasthan tops </w:t>
      </w:r>
      <w:r w:rsidRPr="00B776F8">
        <w:rPr>
          <w:rFonts w:ascii="Garamond" w:hAnsi="Garamond" w:cstheme="minorHAnsi"/>
          <w:color w:val="202020"/>
          <w:sz w:val="28"/>
          <w:szCs w:val="28"/>
          <w:shd w:val="clear" w:color="auto" w:fill="FFFFFF"/>
        </w:rPr>
        <w:lastRenderedPageBreak/>
        <w:t xml:space="preserve">the list with a total of 92 universities, followed by Uttar Pradesh with 84 universities and Gujarat with 83 universities. </w:t>
      </w:r>
    </w:p>
    <w:p w:rsidR="00AE011B" w:rsidRPr="00B776F8" w:rsidRDefault="00AE011B">
      <w:pPr>
        <w:rPr>
          <w:rFonts w:ascii="Garamond" w:hAnsi="Garamond" w:cstheme="minorHAnsi"/>
          <w:color w:val="202020"/>
          <w:sz w:val="28"/>
          <w:szCs w:val="28"/>
          <w:shd w:val="clear" w:color="auto" w:fill="FFFFFF"/>
        </w:rPr>
      </w:pPr>
      <w:r w:rsidRPr="00B776F8">
        <w:rPr>
          <w:rFonts w:ascii="Garamond" w:hAnsi="Garamond" w:cstheme="minorHAnsi"/>
          <w:color w:val="202020"/>
          <w:sz w:val="28"/>
          <w:szCs w:val="28"/>
        </w:rPr>
        <w:br/>
      </w:r>
      <w:r w:rsidRPr="00B776F8">
        <w:rPr>
          <w:rFonts w:ascii="Garamond" w:hAnsi="Garamond" w:cstheme="minorHAnsi"/>
          <w:color w:val="202020"/>
          <w:sz w:val="28"/>
          <w:szCs w:val="28"/>
          <w:shd w:val="clear" w:color="auto" w:fill="FFFFFF"/>
        </w:rPr>
        <w:t>The number of universities in a state is an important indicator of the state's development, as it reflects the availability of quality higher education opportunities for the youth of the state. The presence of a large number of universities also attracts students from other states and countries, making the state a hub for education and research. In addition to the above three states, other states in India with a significant number of universities include Tamil Nadu (78), Maharashtra (73), and Andhra Pradesh (65). These states also have a strong focus on education and have invested heavily in creating a robust higher education ecosystem.</w:t>
      </w:r>
      <w:r w:rsidRPr="00B776F8">
        <w:rPr>
          <w:rFonts w:ascii="Garamond" w:hAnsi="Garamond" w:cstheme="minorHAnsi"/>
          <w:color w:val="202020"/>
          <w:sz w:val="28"/>
          <w:szCs w:val="28"/>
        </w:rPr>
        <w:br/>
      </w:r>
      <w:r w:rsidRPr="00B776F8">
        <w:rPr>
          <w:rFonts w:ascii="Garamond" w:hAnsi="Garamond" w:cstheme="minorHAnsi"/>
          <w:color w:val="202020"/>
          <w:sz w:val="28"/>
          <w:szCs w:val="28"/>
          <w:shd w:val="clear" w:color="auto" w:fill="FFFFFF"/>
        </w:rPr>
        <w:t>Overall, the high number of universities in these states is a positive sign for the development of the country and underscores the importance of education in shaping the future of the nation.</w:t>
      </w:r>
    </w:p>
    <w:p w:rsidR="00AE011B" w:rsidRPr="00B776F8" w:rsidRDefault="00AE011B">
      <w:pPr>
        <w:rPr>
          <w:rFonts w:ascii="Garamond" w:hAnsi="Garamond" w:cstheme="minorHAnsi"/>
          <w:b/>
          <w:color w:val="202020"/>
          <w:sz w:val="28"/>
          <w:szCs w:val="28"/>
          <w:shd w:val="clear" w:color="auto" w:fill="FFFFFF"/>
        </w:rPr>
      </w:pPr>
      <w:r w:rsidRPr="00B776F8">
        <w:rPr>
          <w:rFonts w:ascii="Garamond" w:hAnsi="Garamond" w:cstheme="minorHAnsi"/>
          <w:color w:val="202020"/>
          <w:sz w:val="28"/>
          <w:szCs w:val="28"/>
        </w:rPr>
        <w:br/>
      </w:r>
      <w:r w:rsidR="00720553">
        <w:rPr>
          <w:rFonts w:ascii="Garamond" w:hAnsi="Garamond" w:cstheme="minorHAnsi"/>
          <w:b/>
          <w:color w:val="202020"/>
          <w:sz w:val="28"/>
          <w:szCs w:val="28"/>
          <w:shd w:val="clear" w:color="auto" w:fill="FFFFFF"/>
        </w:rPr>
        <w:t>3.</w:t>
      </w:r>
      <w:r w:rsidR="00720553" w:rsidRPr="00B776F8">
        <w:rPr>
          <w:rFonts w:ascii="Garamond" w:hAnsi="Garamond" w:cstheme="minorHAnsi"/>
          <w:b/>
          <w:color w:val="202020"/>
          <w:sz w:val="28"/>
          <w:szCs w:val="28"/>
          <w:shd w:val="clear" w:color="auto" w:fill="FFFFFF"/>
        </w:rPr>
        <w:t xml:space="preserve"> National</w:t>
      </w:r>
      <w:r w:rsidRPr="00B776F8">
        <w:rPr>
          <w:rFonts w:ascii="Garamond" w:hAnsi="Garamond" w:cstheme="minorHAnsi"/>
          <w:b/>
          <w:color w:val="202020"/>
          <w:sz w:val="28"/>
          <w:szCs w:val="28"/>
          <w:shd w:val="clear" w:color="auto" w:fill="FFFFFF"/>
        </w:rPr>
        <w:t xml:space="preserve"> Education Policy 2020</w:t>
      </w:r>
    </w:p>
    <w:p w:rsidR="00AE011B" w:rsidRPr="00B776F8" w:rsidRDefault="00AE011B">
      <w:pPr>
        <w:rPr>
          <w:rFonts w:ascii="Garamond" w:hAnsi="Garamond" w:cstheme="minorHAnsi"/>
          <w:sz w:val="28"/>
          <w:szCs w:val="28"/>
        </w:rPr>
      </w:pPr>
      <w:r w:rsidRPr="00B776F8">
        <w:rPr>
          <w:rFonts w:ascii="Garamond" w:hAnsi="Garamond" w:cstheme="minorHAnsi"/>
          <w:sz w:val="28"/>
          <w:szCs w:val="28"/>
        </w:rPr>
        <w:t>This National Education Policy 2020 is the first education policy of the 21st century. It aims to address the many growing developmental imperatives of our country. This Policy proposes the revision and revamping of all aspects of the education structure, including its regulation and governance. This is to create a new system that is aligned with the aspirational goals of 21st century education, including SDG4, while building upon India’s traditions and value systems. An emphasis is placed on developing the creative potential of each individual in the National Education Policy.</w:t>
      </w:r>
    </w:p>
    <w:p w:rsidR="00451FAC" w:rsidRPr="00B776F8" w:rsidRDefault="00AE011B">
      <w:pPr>
        <w:rPr>
          <w:rFonts w:ascii="Garamond" w:hAnsi="Garamond" w:cstheme="minorHAnsi"/>
          <w:color w:val="202020"/>
          <w:sz w:val="28"/>
          <w:szCs w:val="28"/>
          <w:shd w:val="clear" w:color="auto" w:fill="FFFFFF"/>
        </w:rPr>
      </w:pPr>
      <w:r w:rsidRPr="00B776F8">
        <w:rPr>
          <w:rFonts w:ascii="Garamond" w:hAnsi="Garamond" w:cstheme="minorHAnsi"/>
          <w:color w:val="202020"/>
          <w:sz w:val="28"/>
          <w:szCs w:val="28"/>
          <w:shd w:val="clear" w:color="auto" w:fill="FFFFFF"/>
        </w:rPr>
        <w:t xml:space="preserve">It is based on the principle that education must develop not only cognitive capacities - both the ‘foundational capacities ’of literacy and numeracy and ‘higher-order’ cognitive capacities, such as </w:t>
      </w:r>
      <w:r w:rsidRPr="00B776F8">
        <w:rPr>
          <w:rFonts w:ascii="Garamond" w:hAnsi="Garamond" w:cstheme="minorHAnsi"/>
          <w:sz w:val="28"/>
          <w:szCs w:val="28"/>
        </w:rPr>
        <w:t>critical thinking and problem solving – but also social, ethical, and emotional capacities and dispositions.</w:t>
      </w:r>
      <w:r w:rsidRPr="00B776F8">
        <w:rPr>
          <w:rFonts w:ascii="Garamond" w:hAnsi="Garamond" w:cstheme="minorHAnsi"/>
          <w:color w:val="202020"/>
          <w:sz w:val="28"/>
          <w:szCs w:val="28"/>
        </w:rPr>
        <w:br/>
      </w:r>
      <w:r w:rsidRPr="00B776F8">
        <w:rPr>
          <w:rFonts w:ascii="Garamond" w:hAnsi="Garamond" w:cstheme="minorHAnsi"/>
          <w:color w:val="202020"/>
          <w:sz w:val="28"/>
          <w:szCs w:val="28"/>
          <w:shd w:val="clear" w:color="auto" w:fill="FFFFFF"/>
        </w:rPr>
        <w:t>Higher Education</w:t>
      </w:r>
    </w:p>
    <w:p w:rsidR="00451FAC" w:rsidRPr="00B776F8" w:rsidRDefault="00AE011B" w:rsidP="00451FAC">
      <w:pPr>
        <w:rPr>
          <w:rFonts w:ascii="Garamond" w:hAnsi="Garamond" w:cstheme="minorHAnsi"/>
          <w:sz w:val="28"/>
          <w:szCs w:val="28"/>
        </w:rPr>
      </w:pPr>
      <w:r w:rsidRPr="00B776F8">
        <w:rPr>
          <w:rFonts w:ascii="Garamond" w:hAnsi="Garamond" w:cstheme="minorHAnsi"/>
          <w:color w:val="202020"/>
          <w:sz w:val="28"/>
          <w:szCs w:val="28"/>
        </w:rPr>
        <w:br/>
      </w:r>
      <w:r w:rsidR="00B776F8">
        <w:rPr>
          <w:rFonts w:ascii="Garamond" w:hAnsi="Garamond" w:cstheme="minorHAnsi"/>
          <w:b/>
          <w:color w:val="202020"/>
          <w:sz w:val="28"/>
          <w:szCs w:val="28"/>
          <w:shd w:val="clear" w:color="auto" w:fill="FFFFFF"/>
        </w:rPr>
        <w:t>3.01</w:t>
      </w:r>
      <w:r w:rsidR="00720553">
        <w:rPr>
          <w:rFonts w:ascii="Garamond" w:hAnsi="Garamond" w:cstheme="minorHAnsi"/>
          <w:b/>
          <w:color w:val="202020"/>
          <w:sz w:val="28"/>
          <w:szCs w:val="28"/>
          <w:shd w:val="clear" w:color="auto" w:fill="FFFFFF"/>
        </w:rPr>
        <w:t>.</w:t>
      </w:r>
      <w:r w:rsidR="00720553" w:rsidRPr="00B776F8">
        <w:rPr>
          <w:rFonts w:ascii="Garamond" w:hAnsi="Garamond" w:cstheme="minorHAnsi"/>
          <w:b/>
          <w:color w:val="202020"/>
          <w:sz w:val="28"/>
          <w:szCs w:val="28"/>
          <w:shd w:val="clear" w:color="auto" w:fill="FFFFFF"/>
        </w:rPr>
        <w:t xml:space="preserve"> Gross</w:t>
      </w:r>
      <w:r w:rsidRPr="00B776F8">
        <w:rPr>
          <w:rFonts w:ascii="Garamond" w:hAnsi="Garamond" w:cstheme="minorHAnsi"/>
          <w:b/>
          <w:color w:val="202020"/>
          <w:sz w:val="28"/>
          <w:szCs w:val="28"/>
          <w:shd w:val="clear" w:color="auto" w:fill="FFFFFF"/>
        </w:rPr>
        <w:t xml:space="preserve"> Enrolment Ratio</w:t>
      </w:r>
      <w:r w:rsidRPr="00B776F8">
        <w:rPr>
          <w:rFonts w:ascii="Garamond" w:hAnsi="Garamond" w:cstheme="minorHAnsi"/>
          <w:color w:val="202020"/>
          <w:sz w:val="28"/>
          <w:szCs w:val="28"/>
          <w:shd w:val="clear" w:color="auto" w:fill="FFFFFF"/>
        </w:rPr>
        <w:t xml:space="preserve"> in higher education to be raised to 50 % by 2035; 3.5 crore seats to be added in higher </w:t>
      </w:r>
      <w:r w:rsidR="00AB3874" w:rsidRPr="00B776F8">
        <w:rPr>
          <w:rFonts w:ascii="Garamond" w:hAnsi="Garamond" w:cstheme="minorHAnsi"/>
          <w:color w:val="202020"/>
          <w:sz w:val="28"/>
          <w:szCs w:val="28"/>
          <w:shd w:val="clear" w:color="auto" w:fill="FFFFFF"/>
        </w:rPr>
        <w:t>education. The</w:t>
      </w:r>
      <w:r w:rsidRPr="00B776F8">
        <w:rPr>
          <w:rFonts w:ascii="Garamond" w:hAnsi="Garamond" w:cstheme="minorHAnsi"/>
          <w:color w:val="202020"/>
          <w:sz w:val="28"/>
          <w:szCs w:val="28"/>
          <w:shd w:val="clear" w:color="auto" w:fill="FFFFFF"/>
        </w:rPr>
        <w:t xml:space="preserve"> policy envisages broad based, multi-disciplinary, holistic Under Graduate education with flexible curricula, creative combinations of subjects, integration of vocational education and multiple entry and exit points with appropriate certification. </w:t>
      </w:r>
      <w:r w:rsidRPr="00B776F8">
        <w:rPr>
          <w:rFonts w:ascii="Garamond" w:hAnsi="Garamond" w:cstheme="minorHAnsi"/>
          <w:sz w:val="28"/>
          <w:szCs w:val="28"/>
        </w:rPr>
        <w:t>UG education can be of 3 or 4 years with multiple exit options and appropriate certification within this period.</w:t>
      </w:r>
    </w:p>
    <w:p w:rsidR="00451FAC" w:rsidRPr="00B776F8" w:rsidRDefault="00B776F8" w:rsidP="00451FAC">
      <w:pPr>
        <w:rPr>
          <w:rFonts w:ascii="Garamond" w:hAnsi="Garamond" w:cstheme="minorHAnsi"/>
          <w:sz w:val="28"/>
          <w:szCs w:val="28"/>
        </w:rPr>
      </w:pPr>
      <w:r>
        <w:rPr>
          <w:rFonts w:ascii="Garamond" w:hAnsi="Garamond" w:cstheme="minorHAnsi"/>
          <w:b/>
          <w:sz w:val="28"/>
          <w:szCs w:val="28"/>
        </w:rPr>
        <w:t>3.02</w:t>
      </w:r>
      <w:r w:rsidR="00720553">
        <w:rPr>
          <w:rFonts w:ascii="Garamond" w:hAnsi="Garamond" w:cstheme="minorHAnsi"/>
          <w:b/>
          <w:sz w:val="28"/>
          <w:szCs w:val="28"/>
        </w:rPr>
        <w:t>.</w:t>
      </w:r>
      <w:r w:rsidR="00720553" w:rsidRPr="00B776F8">
        <w:rPr>
          <w:rFonts w:ascii="Garamond" w:hAnsi="Garamond" w:cstheme="minorHAnsi"/>
          <w:b/>
          <w:sz w:val="28"/>
          <w:szCs w:val="28"/>
        </w:rPr>
        <w:t xml:space="preserve"> To</w:t>
      </w:r>
      <w:r w:rsidR="00AE011B" w:rsidRPr="00B776F8">
        <w:rPr>
          <w:rFonts w:ascii="Garamond" w:hAnsi="Garamond" w:cstheme="minorHAnsi"/>
          <w:b/>
          <w:sz w:val="28"/>
          <w:szCs w:val="28"/>
        </w:rPr>
        <w:t xml:space="preserve"> facilitate credit transfers, an academic bank of credits will be set up</w:t>
      </w:r>
      <w:r w:rsidR="00AE011B" w:rsidRPr="00B776F8">
        <w:rPr>
          <w:rFonts w:ascii="Garamond" w:hAnsi="Garamond" w:cstheme="minorHAnsi"/>
          <w:b/>
          <w:sz w:val="28"/>
          <w:szCs w:val="28"/>
        </w:rPr>
        <w:br/>
      </w:r>
      <w:r w:rsidR="00AE011B" w:rsidRPr="00B776F8">
        <w:rPr>
          <w:rFonts w:ascii="Garamond" w:hAnsi="Garamond" w:cstheme="minorHAnsi"/>
          <w:sz w:val="28"/>
          <w:szCs w:val="28"/>
        </w:rPr>
        <w:t>Establishing Multidisciplinary Educatio</w:t>
      </w:r>
      <w:bookmarkStart w:id="0" w:name="_GoBack"/>
      <w:bookmarkEnd w:id="0"/>
      <w:r w:rsidR="00AE011B" w:rsidRPr="00B776F8">
        <w:rPr>
          <w:rFonts w:ascii="Garamond" w:hAnsi="Garamond" w:cstheme="minorHAnsi"/>
          <w:sz w:val="28"/>
          <w:szCs w:val="28"/>
        </w:rPr>
        <w:t xml:space="preserve">n and Research Universities (MERUs), at </w:t>
      </w:r>
      <w:r w:rsidR="00AE011B" w:rsidRPr="00B776F8">
        <w:rPr>
          <w:rFonts w:ascii="Garamond" w:hAnsi="Garamond" w:cstheme="minorHAnsi"/>
          <w:sz w:val="28"/>
          <w:szCs w:val="28"/>
        </w:rPr>
        <w:lastRenderedPageBreak/>
        <w:t>par with IITs and IIMs, to provide best multidisciplinary education of global standards.</w:t>
      </w:r>
      <w:r w:rsidR="00D054C3" w:rsidRPr="00B776F8">
        <w:rPr>
          <w:rFonts w:ascii="Garamond" w:hAnsi="Garamond" w:cstheme="minorHAnsi"/>
          <w:sz w:val="28"/>
          <w:szCs w:val="28"/>
        </w:rPr>
        <w:t xml:space="preserve"> </w:t>
      </w:r>
      <w:r w:rsidR="00AE011B" w:rsidRPr="00B776F8">
        <w:rPr>
          <w:rFonts w:ascii="Garamond" w:hAnsi="Garamond" w:cstheme="minorHAnsi"/>
          <w:sz w:val="28"/>
          <w:szCs w:val="28"/>
        </w:rPr>
        <w:t>Establishment of a National Research Foundation to foster a strong research culture and build research capacity in higher education.</w:t>
      </w:r>
      <w:r w:rsidR="00AE011B" w:rsidRPr="00B776F8">
        <w:rPr>
          <w:rFonts w:ascii="Garamond" w:hAnsi="Garamond" w:cstheme="minorHAnsi"/>
          <w:sz w:val="28"/>
          <w:szCs w:val="28"/>
        </w:rPr>
        <w:br/>
        <w:t xml:space="preserve">HECI will be set up as an overarching umbrella body for the entire higher education system, excluding medical and legal education. A National Higher Education Regulatory Council (NHERC) will regulate, a General Education Council (GEC) will set standards, a Higher Education Grants Council (HEGC) will provide funding, and a National Accreditation Council (NAC) will accredit. Public and private higher education institutions will be governed by the same </w:t>
      </w:r>
      <w:r w:rsidR="00AE011B" w:rsidRPr="00B776F8">
        <w:rPr>
          <w:rStyle w:val="issue-underline"/>
          <w:rFonts w:ascii="Garamond" w:hAnsi="Garamond" w:cstheme="minorHAnsi"/>
          <w:sz w:val="28"/>
          <w:szCs w:val="28"/>
        </w:rPr>
        <w:t xml:space="preserve">set of norms for regulation, accreditation and academic standards. </w:t>
      </w:r>
      <w:r w:rsidR="00AE011B" w:rsidRPr="00B776F8">
        <w:rPr>
          <w:rFonts w:ascii="Garamond" w:hAnsi="Garamond" w:cstheme="minorHAnsi"/>
          <w:sz w:val="28"/>
          <w:szCs w:val="28"/>
        </w:rPr>
        <w:t>The NHERC, GEC, HEGC, and NAC are all councils that are responsible for different aspects of the regulation of higher education in a country. The NHERC is responsible for regulation, the GEC is responsible for setting standards, the HEGC is responsible for funding, and the NAC is responsible for accreditation.</w:t>
      </w:r>
    </w:p>
    <w:p w:rsidR="00AE011B" w:rsidRPr="00B776F8" w:rsidRDefault="00AE011B" w:rsidP="00451FAC">
      <w:pPr>
        <w:rPr>
          <w:rFonts w:ascii="Garamond" w:hAnsi="Garamond" w:cstheme="minorHAnsi"/>
          <w:sz w:val="28"/>
          <w:szCs w:val="28"/>
        </w:rPr>
      </w:pPr>
      <w:r w:rsidRPr="00B776F8">
        <w:rPr>
          <w:rFonts w:ascii="Garamond" w:hAnsi="Garamond" w:cstheme="minorHAnsi"/>
          <w:sz w:val="28"/>
          <w:szCs w:val="28"/>
        </w:rPr>
        <w:t xml:space="preserve">Affiliation of colleges is to be phased out in 15 years and a stage-wise mechanism </w:t>
      </w:r>
      <w:r w:rsidRPr="00B776F8">
        <w:rPr>
          <w:rStyle w:val="issue-underline"/>
          <w:rFonts w:ascii="Garamond" w:hAnsi="Garamond" w:cstheme="minorHAnsi"/>
          <w:sz w:val="28"/>
          <w:szCs w:val="28"/>
        </w:rPr>
        <w:t>is to</w:t>
      </w:r>
      <w:r w:rsidRPr="00B776F8">
        <w:rPr>
          <w:rFonts w:ascii="Garamond" w:hAnsi="Garamond" w:cstheme="minorHAnsi"/>
          <w:sz w:val="28"/>
          <w:szCs w:val="28"/>
        </w:rPr>
        <w:t xml:space="preserve"> be established for granting graded autonomy to colleges. Eventually, every college will become either an autonomous college or a constituent college of a university.</w:t>
      </w:r>
    </w:p>
    <w:p w:rsidR="00451FAC" w:rsidRPr="00814800" w:rsidRDefault="00F95B23" w:rsidP="00451FAC">
      <w:pPr>
        <w:spacing w:before="100" w:beforeAutospacing="1" w:after="100" w:afterAutospacing="1" w:line="240" w:lineRule="auto"/>
        <w:rPr>
          <w:rFonts w:ascii="Garamond" w:eastAsia="Times New Roman" w:hAnsi="Garamond" w:cstheme="minorHAnsi"/>
          <w:b/>
          <w:sz w:val="28"/>
          <w:szCs w:val="28"/>
          <w:lang w:eastAsia="en-IN"/>
        </w:rPr>
      </w:pPr>
      <w:r>
        <w:rPr>
          <w:rFonts w:ascii="Garamond" w:eastAsia="Times New Roman" w:hAnsi="Garamond" w:cstheme="minorHAnsi"/>
          <w:b/>
          <w:sz w:val="28"/>
          <w:szCs w:val="28"/>
          <w:lang w:eastAsia="en-IN"/>
        </w:rPr>
        <w:t xml:space="preserve">4. </w:t>
      </w:r>
      <w:r w:rsidR="00451FAC" w:rsidRPr="00814800">
        <w:rPr>
          <w:rFonts w:ascii="Garamond" w:eastAsia="Times New Roman" w:hAnsi="Garamond" w:cstheme="minorHAnsi"/>
          <w:b/>
          <w:sz w:val="28"/>
          <w:szCs w:val="28"/>
          <w:lang w:eastAsia="en-IN"/>
        </w:rPr>
        <w:t xml:space="preserve">Importance of Gross </w:t>
      </w:r>
      <w:r w:rsidR="00451FAC" w:rsidRPr="00B776F8">
        <w:rPr>
          <w:rFonts w:ascii="Garamond" w:eastAsia="Times New Roman" w:hAnsi="Garamond" w:cstheme="minorHAnsi"/>
          <w:b/>
          <w:sz w:val="28"/>
          <w:szCs w:val="28"/>
          <w:lang w:eastAsia="en-IN"/>
        </w:rPr>
        <w:t>Enrolment</w:t>
      </w:r>
      <w:r w:rsidR="00451FAC" w:rsidRPr="00814800">
        <w:rPr>
          <w:rFonts w:ascii="Garamond" w:eastAsia="Times New Roman" w:hAnsi="Garamond" w:cstheme="minorHAnsi"/>
          <w:b/>
          <w:sz w:val="28"/>
          <w:szCs w:val="28"/>
          <w:lang w:eastAsia="en-IN"/>
        </w:rPr>
        <w:t xml:space="preserve"> Ratio:</w:t>
      </w:r>
    </w:p>
    <w:p w:rsidR="00451FAC" w:rsidRPr="00814800" w:rsidRDefault="00451FAC" w:rsidP="00451FAC">
      <w:pPr>
        <w:spacing w:before="100" w:beforeAutospacing="1" w:after="100" w:afterAutospacing="1" w:line="240" w:lineRule="auto"/>
        <w:rPr>
          <w:rFonts w:ascii="Garamond" w:eastAsia="Times New Roman" w:hAnsi="Garamond" w:cstheme="minorHAnsi"/>
          <w:sz w:val="28"/>
          <w:szCs w:val="28"/>
          <w:lang w:eastAsia="en-IN"/>
        </w:rPr>
      </w:pPr>
      <w:r w:rsidRPr="00814800">
        <w:rPr>
          <w:rFonts w:ascii="Garamond" w:eastAsia="Times New Roman" w:hAnsi="Garamond" w:cstheme="minorHAnsi"/>
          <w:sz w:val="28"/>
          <w:szCs w:val="28"/>
          <w:lang w:eastAsia="en-IN"/>
        </w:rPr>
        <w:t>The GER in HEIs is crucial for several reasons. Firstly, it reflects the overall level of educational attainment in a country. A higher GER indicates a higher level of access and participation in higher education. Secondly, a higher GER is associated with improved socio-economic outcomes, such as higher employment rates and better quality of life. Lastly, a higher GER contributes to the development of a skilled workforce, which is essential for a country's economic growth and competitiveness.</w:t>
      </w:r>
    </w:p>
    <w:p w:rsidR="00451FAC" w:rsidRPr="00814800" w:rsidRDefault="00F95B23" w:rsidP="00451FAC">
      <w:pPr>
        <w:spacing w:before="100" w:beforeAutospacing="1" w:after="100" w:afterAutospacing="1" w:line="240" w:lineRule="auto"/>
        <w:rPr>
          <w:rFonts w:ascii="Garamond" w:eastAsia="Times New Roman" w:hAnsi="Garamond" w:cstheme="minorHAnsi"/>
          <w:b/>
          <w:sz w:val="28"/>
          <w:szCs w:val="28"/>
          <w:lang w:eastAsia="en-IN"/>
        </w:rPr>
      </w:pPr>
      <w:r>
        <w:rPr>
          <w:rFonts w:ascii="Garamond" w:eastAsia="Times New Roman" w:hAnsi="Garamond" w:cstheme="minorHAnsi"/>
          <w:b/>
          <w:sz w:val="28"/>
          <w:szCs w:val="28"/>
          <w:lang w:eastAsia="en-IN"/>
        </w:rPr>
        <w:t>4.01</w:t>
      </w:r>
      <w:r w:rsidR="00E6149F">
        <w:rPr>
          <w:rFonts w:ascii="Garamond" w:eastAsia="Times New Roman" w:hAnsi="Garamond" w:cstheme="minorHAnsi"/>
          <w:b/>
          <w:sz w:val="28"/>
          <w:szCs w:val="28"/>
          <w:lang w:eastAsia="en-IN"/>
        </w:rPr>
        <w:t>.</w:t>
      </w:r>
      <w:r w:rsidR="00E6149F" w:rsidRPr="00814800">
        <w:rPr>
          <w:rFonts w:ascii="Garamond" w:eastAsia="Times New Roman" w:hAnsi="Garamond" w:cstheme="minorHAnsi"/>
          <w:b/>
          <w:sz w:val="28"/>
          <w:szCs w:val="28"/>
          <w:lang w:eastAsia="en-IN"/>
        </w:rPr>
        <w:t xml:space="preserve"> Assessing</w:t>
      </w:r>
      <w:r w:rsidR="00451FAC" w:rsidRPr="00814800">
        <w:rPr>
          <w:rFonts w:ascii="Garamond" w:eastAsia="Times New Roman" w:hAnsi="Garamond" w:cstheme="minorHAnsi"/>
          <w:b/>
          <w:sz w:val="28"/>
          <w:szCs w:val="28"/>
          <w:lang w:eastAsia="en-IN"/>
        </w:rPr>
        <w:t xml:space="preserve"> the Effectiveness of the NEP:</w:t>
      </w:r>
    </w:p>
    <w:p w:rsidR="00451FAC" w:rsidRPr="00814800" w:rsidRDefault="00451FAC" w:rsidP="00451FAC">
      <w:pPr>
        <w:spacing w:before="100" w:beforeAutospacing="1" w:after="100" w:afterAutospacing="1" w:line="240" w:lineRule="auto"/>
        <w:rPr>
          <w:rFonts w:ascii="Garamond" w:eastAsia="Times New Roman" w:hAnsi="Garamond" w:cstheme="minorHAnsi"/>
          <w:sz w:val="28"/>
          <w:szCs w:val="28"/>
          <w:lang w:eastAsia="en-IN"/>
        </w:rPr>
      </w:pPr>
      <w:r w:rsidRPr="00814800">
        <w:rPr>
          <w:rFonts w:ascii="Garamond" w:eastAsia="Times New Roman" w:hAnsi="Garamond" w:cstheme="minorHAnsi"/>
          <w:sz w:val="28"/>
          <w:szCs w:val="28"/>
          <w:lang w:eastAsia="en-IN"/>
        </w:rPr>
        <w:t>To evaluate the effectiveness of the NEP in improving the GER in HEIs, various factors need to be considered:</w:t>
      </w:r>
    </w:p>
    <w:p w:rsidR="00451FAC" w:rsidRPr="00814800" w:rsidRDefault="00202F53" w:rsidP="00451FAC">
      <w:pPr>
        <w:spacing w:before="100" w:beforeAutospacing="1" w:after="100" w:afterAutospacing="1" w:line="240" w:lineRule="auto"/>
        <w:rPr>
          <w:rFonts w:ascii="Garamond" w:eastAsia="Times New Roman" w:hAnsi="Garamond" w:cstheme="minorHAnsi"/>
          <w:b/>
          <w:sz w:val="28"/>
          <w:szCs w:val="28"/>
          <w:lang w:eastAsia="en-IN"/>
        </w:rPr>
      </w:pPr>
      <w:r>
        <w:rPr>
          <w:rFonts w:ascii="Garamond" w:eastAsia="Times New Roman" w:hAnsi="Garamond" w:cstheme="minorHAnsi"/>
          <w:b/>
          <w:sz w:val="28"/>
          <w:szCs w:val="28"/>
          <w:lang w:eastAsia="en-IN"/>
        </w:rPr>
        <w:t>4.01.01</w:t>
      </w:r>
      <w:r w:rsidR="00451FAC" w:rsidRPr="00814800">
        <w:rPr>
          <w:rFonts w:ascii="Garamond" w:eastAsia="Times New Roman" w:hAnsi="Garamond" w:cstheme="minorHAnsi"/>
          <w:b/>
          <w:sz w:val="28"/>
          <w:szCs w:val="28"/>
          <w:lang w:eastAsia="en-IN"/>
        </w:rPr>
        <w:t>. Access and Equity:</w:t>
      </w:r>
    </w:p>
    <w:p w:rsidR="00451FAC" w:rsidRPr="00814800" w:rsidRDefault="00451FAC" w:rsidP="00451FAC">
      <w:pPr>
        <w:spacing w:before="100" w:beforeAutospacing="1" w:after="100" w:afterAutospacing="1" w:line="240" w:lineRule="auto"/>
        <w:rPr>
          <w:rFonts w:ascii="Garamond" w:eastAsia="Times New Roman" w:hAnsi="Garamond" w:cstheme="minorHAnsi"/>
          <w:sz w:val="28"/>
          <w:szCs w:val="28"/>
          <w:lang w:eastAsia="en-IN"/>
        </w:rPr>
      </w:pPr>
      <w:r w:rsidRPr="00814800">
        <w:rPr>
          <w:rFonts w:ascii="Garamond" w:eastAsia="Times New Roman" w:hAnsi="Garamond" w:cstheme="minorHAnsi"/>
          <w:sz w:val="28"/>
          <w:szCs w:val="28"/>
          <w:lang w:eastAsia="en-IN"/>
        </w:rPr>
        <w:t xml:space="preserve">The NEP aims to increase access to higher education by addressing the existing disparities and promoting inclusivity. It focuses on providing equal opportunities to marginalized communities, women, and individuals from economically disadvantaged backgrounds. Assessing the effectiveness of the NEP requires </w:t>
      </w:r>
      <w:r w:rsidRPr="00B776F8">
        <w:rPr>
          <w:rFonts w:ascii="Garamond" w:eastAsia="Times New Roman" w:hAnsi="Garamond" w:cstheme="minorHAnsi"/>
          <w:sz w:val="28"/>
          <w:szCs w:val="28"/>
          <w:lang w:eastAsia="en-IN"/>
        </w:rPr>
        <w:t>analysing</w:t>
      </w:r>
      <w:r w:rsidRPr="00814800">
        <w:rPr>
          <w:rFonts w:ascii="Garamond" w:eastAsia="Times New Roman" w:hAnsi="Garamond" w:cstheme="minorHAnsi"/>
          <w:sz w:val="28"/>
          <w:szCs w:val="28"/>
          <w:lang w:eastAsia="en-IN"/>
        </w:rPr>
        <w:t xml:space="preserve"> whether these measures have resulted in an increase in the GER, particularly among underrepresented groups.</w:t>
      </w:r>
    </w:p>
    <w:p w:rsidR="00451FAC" w:rsidRPr="00814800" w:rsidRDefault="00202F53" w:rsidP="00451FAC">
      <w:pPr>
        <w:spacing w:before="100" w:beforeAutospacing="1" w:after="100" w:afterAutospacing="1" w:line="240" w:lineRule="auto"/>
        <w:rPr>
          <w:rFonts w:ascii="Garamond" w:eastAsia="Times New Roman" w:hAnsi="Garamond" w:cstheme="minorHAnsi"/>
          <w:b/>
          <w:sz w:val="28"/>
          <w:szCs w:val="28"/>
          <w:lang w:eastAsia="en-IN"/>
        </w:rPr>
      </w:pPr>
      <w:r>
        <w:rPr>
          <w:rFonts w:ascii="Garamond" w:eastAsia="Times New Roman" w:hAnsi="Garamond" w:cstheme="minorHAnsi"/>
          <w:b/>
          <w:sz w:val="28"/>
          <w:szCs w:val="28"/>
          <w:lang w:eastAsia="en-IN"/>
        </w:rPr>
        <w:lastRenderedPageBreak/>
        <w:t>4.01.02</w:t>
      </w:r>
      <w:r w:rsidR="00451FAC" w:rsidRPr="00814800">
        <w:rPr>
          <w:rFonts w:ascii="Garamond" w:eastAsia="Times New Roman" w:hAnsi="Garamond" w:cstheme="minorHAnsi"/>
          <w:b/>
          <w:sz w:val="28"/>
          <w:szCs w:val="28"/>
          <w:lang w:eastAsia="en-IN"/>
        </w:rPr>
        <w:t>. Infrastructure and Capacity:</w:t>
      </w:r>
    </w:p>
    <w:p w:rsidR="00451FAC" w:rsidRPr="00814800" w:rsidRDefault="00451FAC" w:rsidP="00451FAC">
      <w:pPr>
        <w:spacing w:before="100" w:beforeAutospacing="1" w:after="100" w:afterAutospacing="1" w:line="240" w:lineRule="auto"/>
        <w:rPr>
          <w:rFonts w:ascii="Garamond" w:eastAsia="Times New Roman" w:hAnsi="Garamond" w:cstheme="minorHAnsi"/>
          <w:sz w:val="28"/>
          <w:szCs w:val="28"/>
          <w:lang w:eastAsia="en-IN"/>
        </w:rPr>
      </w:pPr>
      <w:r w:rsidRPr="00814800">
        <w:rPr>
          <w:rFonts w:ascii="Garamond" w:eastAsia="Times New Roman" w:hAnsi="Garamond" w:cstheme="minorHAnsi"/>
          <w:sz w:val="28"/>
          <w:szCs w:val="28"/>
          <w:lang w:eastAsia="en-IN"/>
        </w:rPr>
        <w:t>The NEP recognizes the need for expanding and strengthening the infrastructure and capacity of HEIs. This includes increasing the number of institutions, improving the quality of existing institutions, and enhancing research and innovation. Evaluating the effectiveness of the NEP in this regard involves assessing whether investments in infrastructure and capacity have led to an increase in the GER.</w:t>
      </w:r>
    </w:p>
    <w:p w:rsidR="00451FAC" w:rsidRPr="00814800" w:rsidRDefault="00202F53" w:rsidP="00451FAC">
      <w:pPr>
        <w:spacing w:before="100" w:beforeAutospacing="1" w:after="100" w:afterAutospacing="1" w:line="240" w:lineRule="auto"/>
        <w:rPr>
          <w:rFonts w:ascii="Garamond" w:eastAsia="Times New Roman" w:hAnsi="Garamond" w:cstheme="minorHAnsi"/>
          <w:b/>
          <w:sz w:val="28"/>
          <w:szCs w:val="28"/>
          <w:lang w:eastAsia="en-IN"/>
        </w:rPr>
      </w:pPr>
      <w:r>
        <w:rPr>
          <w:rFonts w:ascii="Garamond" w:eastAsia="Times New Roman" w:hAnsi="Garamond" w:cstheme="minorHAnsi"/>
          <w:b/>
          <w:sz w:val="28"/>
          <w:szCs w:val="28"/>
          <w:lang w:eastAsia="en-IN"/>
        </w:rPr>
        <w:t>4.01.03</w:t>
      </w:r>
      <w:r w:rsidR="00BA2319">
        <w:rPr>
          <w:rFonts w:ascii="Garamond" w:eastAsia="Times New Roman" w:hAnsi="Garamond" w:cstheme="minorHAnsi"/>
          <w:b/>
          <w:sz w:val="28"/>
          <w:szCs w:val="28"/>
          <w:lang w:eastAsia="en-IN"/>
        </w:rPr>
        <w:t>.</w:t>
      </w:r>
      <w:r w:rsidR="00451FAC" w:rsidRPr="00814800">
        <w:rPr>
          <w:rFonts w:ascii="Garamond" w:eastAsia="Times New Roman" w:hAnsi="Garamond" w:cstheme="minorHAnsi"/>
          <w:b/>
          <w:sz w:val="28"/>
          <w:szCs w:val="28"/>
          <w:lang w:eastAsia="en-IN"/>
        </w:rPr>
        <w:t xml:space="preserve"> Skill Development and Employability:</w:t>
      </w:r>
    </w:p>
    <w:p w:rsidR="00451FAC" w:rsidRPr="00814800" w:rsidRDefault="00451FAC" w:rsidP="00451FAC">
      <w:pPr>
        <w:spacing w:before="100" w:beforeAutospacing="1" w:after="100" w:afterAutospacing="1" w:line="240" w:lineRule="auto"/>
        <w:rPr>
          <w:rFonts w:ascii="Garamond" w:eastAsia="Times New Roman" w:hAnsi="Garamond" w:cstheme="minorHAnsi"/>
          <w:sz w:val="28"/>
          <w:szCs w:val="28"/>
          <w:lang w:eastAsia="en-IN"/>
        </w:rPr>
      </w:pPr>
      <w:r w:rsidRPr="00814800">
        <w:rPr>
          <w:rFonts w:ascii="Garamond" w:eastAsia="Times New Roman" w:hAnsi="Garamond" w:cstheme="minorHAnsi"/>
          <w:sz w:val="28"/>
          <w:szCs w:val="28"/>
          <w:lang w:eastAsia="en-IN"/>
        </w:rPr>
        <w:t>The NEP emphasizes the importance of skill development and aligning higher education with the needs of the industry. It aims to bridge the gap between academia and the job market by promoting vocational education, internships, and entrepreneurship. Evaluating the effectiveness of the NEP requires examining whether these initiatives have resulted in improved employability and higher GER.</w:t>
      </w:r>
    </w:p>
    <w:p w:rsidR="00451FAC" w:rsidRPr="00814800" w:rsidRDefault="00451FAC" w:rsidP="00451FAC">
      <w:pPr>
        <w:spacing w:before="100" w:beforeAutospacing="1" w:after="100" w:afterAutospacing="1" w:line="240" w:lineRule="auto"/>
        <w:rPr>
          <w:rFonts w:ascii="Garamond" w:eastAsia="Times New Roman" w:hAnsi="Garamond" w:cstheme="minorHAnsi"/>
          <w:b/>
          <w:sz w:val="28"/>
          <w:szCs w:val="28"/>
          <w:lang w:eastAsia="en-IN"/>
        </w:rPr>
      </w:pPr>
      <w:r w:rsidRPr="00814800">
        <w:rPr>
          <w:rFonts w:ascii="Garamond" w:eastAsia="Times New Roman" w:hAnsi="Garamond" w:cstheme="minorHAnsi"/>
          <w:b/>
          <w:sz w:val="28"/>
          <w:szCs w:val="28"/>
          <w:lang w:eastAsia="en-IN"/>
        </w:rPr>
        <w:t>4.</w:t>
      </w:r>
      <w:r w:rsidR="00202F53">
        <w:rPr>
          <w:rFonts w:ascii="Garamond" w:eastAsia="Times New Roman" w:hAnsi="Garamond" w:cstheme="minorHAnsi"/>
          <w:b/>
          <w:sz w:val="28"/>
          <w:szCs w:val="28"/>
          <w:lang w:eastAsia="en-IN"/>
        </w:rPr>
        <w:t>01.04.</w:t>
      </w:r>
      <w:r w:rsidRPr="00814800">
        <w:rPr>
          <w:rFonts w:ascii="Garamond" w:eastAsia="Times New Roman" w:hAnsi="Garamond" w:cstheme="minorHAnsi"/>
          <w:b/>
          <w:sz w:val="28"/>
          <w:szCs w:val="28"/>
          <w:lang w:eastAsia="en-IN"/>
        </w:rPr>
        <w:t xml:space="preserve"> Quality Assurance and Accreditation:</w:t>
      </w:r>
    </w:p>
    <w:p w:rsidR="00451FAC" w:rsidRPr="00814800" w:rsidRDefault="00451FAC" w:rsidP="00451FAC">
      <w:pPr>
        <w:spacing w:before="100" w:beforeAutospacing="1" w:after="100" w:afterAutospacing="1" w:line="240" w:lineRule="auto"/>
        <w:rPr>
          <w:rFonts w:ascii="Garamond" w:eastAsia="Times New Roman" w:hAnsi="Garamond" w:cstheme="minorHAnsi"/>
          <w:sz w:val="28"/>
          <w:szCs w:val="28"/>
          <w:lang w:eastAsia="en-IN"/>
        </w:rPr>
      </w:pPr>
      <w:r w:rsidRPr="00814800">
        <w:rPr>
          <w:rFonts w:ascii="Garamond" w:eastAsia="Times New Roman" w:hAnsi="Garamond" w:cstheme="minorHAnsi"/>
          <w:sz w:val="28"/>
          <w:szCs w:val="28"/>
          <w:lang w:eastAsia="en-IN"/>
        </w:rPr>
        <w:t>The NEP emphasizes the need for quality assurance and accreditation mechanisms to ensure the standardization and improvement of HEIs. Evaluating the effectiveness of the NEP in this aspect involves examining whether the implementation of quality assurance measures has led to an increase in the GER, as students and parents are more likely to choose accredited institutions.</w:t>
      </w:r>
    </w:p>
    <w:p w:rsidR="00451FAC" w:rsidRPr="00814800" w:rsidRDefault="00202F53" w:rsidP="00451FAC">
      <w:pPr>
        <w:spacing w:before="100" w:beforeAutospacing="1" w:after="100" w:afterAutospacing="1" w:line="240" w:lineRule="auto"/>
        <w:rPr>
          <w:rFonts w:ascii="Garamond" w:eastAsia="Times New Roman" w:hAnsi="Garamond" w:cstheme="minorHAnsi"/>
          <w:b/>
          <w:sz w:val="28"/>
          <w:szCs w:val="28"/>
          <w:lang w:eastAsia="en-IN"/>
        </w:rPr>
      </w:pPr>
      <w:r>
        <w:rPr>
          <w:rFonts w:ascii="Garamond" w:eastAsia="Times New Roman" w:hAnsi="Garamond" w:cstheme="minorHAnsi"/>
          <w:b/>
          <w:sz w:val="28"/>
          <w:szCs w:val="28"/>
          <w:lang w:eastAsia="en-IN"/>
        </w:rPr>
        <w:t>5.0.</w:t>
      </w:r>
      <w:r w:rsidRPr="00814800">
        <w:rPr>
          <w:rFonts w:ascii="Garamond" w:eastAsia="Times New Roman" w:hAnsi="Garamond" w:cstheme="minorHAnsi"/>
          <w:b/>
          <w:sz w:val="28"/>
          <w:szCs w:val="28"/>
          <w:lang w:eastAsia="en-IN"/>
        </w:rPr>
        <w:t xml:space="preserve"> Conclusion</w:t>
      </w:r>
      <w:r w:rsidR="00451FAC" w:rsidRPr="00814800">
        <w:rPr>
          <w:rFonts w:ascii="Garamond" w:eastAsia="Times New Roman" w:hAnsi="Garamond" w:cstheme="minorHAnsi"/>
          <w:b/>
          <w:sz w:val="28"/>
          <w:szCs w:val="28"/>
          <w:lang w:eastAsia="en-IN"/>
        </w:rPr>
        <w:t>:</w:t>
      </w:r>
    </w:p>
    <w:p w:rsidR="00451FAC" w:rsidRPr="00B776F8" w:rsidRDefault="00451FAC" w:rsidP="00451FAC">
      <w:pPr>
        <w:spacing w:before="100" w:beforeAutospacing="1" w:after="100" w:afterAutospacing="1" w:line="240" w:lineRule="auto"/>
        <w:rPr>
          <w:rFonts w:ascii="Garamond" w:eastAsia="Times New Roman" w:hAnsi="Garamond" w:cstheme="minorHAnsi"/>
          <w:sz w:val="28"/>
          <w:szCs w:val="28"/>
          <w:lang w:eastAsia="en-IN"/>
        </w:rPr>
      </w:pPr>
      <w:r w:rsidRPr="00814800">
        <w:rPr>
          <w:rFonts w:ascii="Garamond" w:eastAsia="Times New Roman" w:hAnsi="Garamond" w:cstheme="minorHAnsi"/>
          <w:sz w:val="28"/>
          <w:szCs w:val="28"/>
          <w:lang w:eastAsia="en-IN"/>
        </w:rPr>
        <w:t>Assessing the effectiveness of the NEP in improving the GER in HEIs requires a comprehensive analysis of various factors, including access and equity, infrastructure and capacity, skill development and employability, and quality assurance and accreditation. By evaluating these aspects, policymakers and stakeholders can gain insights into the impact of the NEP and make informed decisions to further enhance the GER in HEIs.</w:t>
      </w:r>
    </w:p>
    <w:p w:rsidR="00451FAC" w:rsidRPr="00202F53" w:rsidRDefault="00202F53" w:rsidP="00451FAC">
      <w:pPr>
        <w:spacing w:before="100" w:beforeAutospacing="1" w:after="100" w:afterAutospacing="1" w:line="240" w:lineRule="auto"/>
        <w:rPr>
          <w:rFonts w:ascii="Garamond" w:eastAsia="Times New Roman" w:hAnsi="Garamond" w:cstheme="minorHAnsi"/>
          <w:b/>
          <w:sz w:val="28"/>
          <w:szCs w:val="28"/>
          <w:lang w:eastAsia="en-IN"/>
        </w:rPr>
      </w:pPr>
      <w:r w:rsidRPr="00202F53">
        <w:rPr>
          <w:rFonts w:ascii="Garamond" w:eastAsia="Times New Roman" w:hAnsi="Garamond" w:cstheme="minorHAnsi"/>
          <w:b/>
          <w:sz w:val="28"/>
          <w:szCs w:val="28"/>
          <w:lang w:eastAsia="en-IN"/>
        </w:rPr>
        <w:t>6.0. References</w:t>
      </w:r>
      <w:r w:rsidR="00451FAC" w:rsidRPr="00202F53">
        <w:rPr>
          <w:rFonts w:ascii="Garamond" w:eastAsia="Times New Roman" w:hAnsi="Garamond" w:cstheme="minorHAnsi"/>
          <w:b/>
          <w:sz w:val="28"/>
          <w:szCs w:val="28"/>
          <w:lang w:eastAsia="en-IN"/>
        </w:rPr>
        <w:t xml:space="preserve">: </w:t>
      </w:r>
    </w:p>
    <w:p w:rsidR="00451FAC" w:rsidRPr="00B776F8" w:rsidRDefault="00451FAC" w:rsidP="00451FAC">
      <w:pPr>
        <w:pStyle w:val="ListParagraph"/>
        <w:numPr>
          <w:ilvl w:val="0"/>
          <w:numId w:val="1"/>
        </w:numPr>
        <w:spacing w:before="100" w:beforeAutospacing="1" w:after="100" w:afterAutospacing="1" w:line="240" w:lineRule="auto"/>
        <w:rPr>
          <w:rFonts w:ascii="Garamond" w:eastAsia="Times New Roman" w:hAnsi="Garamond" w:cstheme="minorHAnsi"/>
          <w:sz w:val="28"/>
          <w:szCs w:val="28"/>
          <w:lang w:eastAsia="en-IN"/>
        </w:rPr>
      </w:pPr>
      <w:r w:rsidRPr="00B776F8">
        <w:rPr>
          <w:rFonts w:ascii="Garamond" w:hAnsi="Garamond" w:cstheme="minorHAnsi"/>
          <w:sz w:val="28"/>
          <w:szCs w:val="28"/>
        </w:rPr>
        <w:t xml:space="preserve">Benson Ch. (2003), Perspectives on the Economics of education vol-38, (www.googleBookks.com)AmericanEducational research association, America pp: 213-214.  </w:t>
      </w:r>
      <w:r w:rsidRPr="00B776F8">
        <w:rPr>
          <w:rFonts w:ascii="Garamond" w:hAnsi="Garamond" w:cstheme="minorHAnsi"/>
          <w:i/>
          <w:iCs/>
          <w:sz w:val="28"/>
          <w:szCs w:val="28"/>
        </w:rPr>
        <w:t>(PDF) The Role of Female Education on Economic Development: Cross Sectional Data</w:t>
      </w:r>
      <w:r w:rsidRPr="00B776F8">
        <w:rPr>
          <w:rFonts w:ascii="Garamond" w:hAnsi="Garamond" w:cstheme="minorHAnsi"/>
          <w:sz w:val="28"/>
          <w:szCs w:val="28"/>
        </w:rPr>
        <w:t xml:space="preserve">. </w:t>
      </w:r>
    </w:p>
    <w:p w:rsidR="00451FAC" w:rsidRPr="00B776F8" w:rsidRDefault="00451FAC" w:rsidP="00451FAC">
      <w:pPr>
        <w:pStyle w:val="ListParagraph"/>
        <w:numPr>
          <w:ilvl w:val="0"/>
          <w:numId w:val="1"/>
        </w:numPr>
        <w:spacing w:before="100" w:beforeAutospacing="1" w:after="100" w:afterAutospacing="1" w:line="240" w:lineRule="auto"/>
        <w:rPr>
          <w:rFonts w:ascii="Garamond" w:eastAsia="Times New Roman" w:hAnsi="Garamond" w:cstheme="minorHAnsi"/>
          <w:sz w:val="28"/>
          <w:szCs w:val="28"/>
          <w:lang w:eastAsia="en-IN"/>
        </w:rPr>
      </w:pPr>
      <w:r w:rsidRPr="00B776F8">
        <w:rPr>
          <w:rFonts w:ascii="Garamond" w:hAnsi="Garamond" w:cstheme="minorHAnsi"/>
          <w:sz w:val="28"/>
          <w:szCs w:val="28"/>
        </w:rPr>
        <w:t>Kumar, K (2005). Quality of education at the beginning of the 21st century: lessons from India", Education for All Global Monitoring Report 2005, 2004. [Accessed 2 October 2020].</w:t>
      </w:r>
    </w:p>
    <w:p w:rsidR="00451FAC" w:rsidRPr="00B776F8" w:rsidRDefault="00451FAC" w:rsidP="00451FAC">
      <w:pPr>
        <w:pStyle w:val="ListParagraph"/>
        <w:numPr>
          <w:ilvl w:val="0"/>
          <w:numId w:val="1"/>
        </w:numPr>
        <w:spacing w:before="100" w:beforeAutospacing="1" w:after="100" w:afterAutospacing="1" w:line="240" w:lineRule="auto"/>
        <w:rPr>
          <w:rFonts w:ascii="Garamond" w:eastAsia="Times New Roman" w:hAnsi="Garamond" w:cstheme="minorHAnsi"/>
          <w:sz w:val="28"/>
          <w:szCs w:val="28"/>
          <w:lang w:eastAsia="en-IN"/>
        </w:rPr>
      </w:pPr>
      <w:proofErr w:type="spellStart"/>
      <w:r w:rsidRPr="00B776F8">
        <w:rPr>
          <w:rFonts w:ascii="Garamond" w:hAnsi="Garamond" w:cstheme="minorHAnsi"/>
          <w:sz w:val="28"/>
          <w:szCs w:val="28"/>
        </w:rPr>
        <w:t>Aithal</w:t>
      </w:r>
      <w:proofErr w:type="spellEnd"/>
      <w:r w:rsidRPr="00B776F8">
        <w:rPr>
          <w:rFonts w:ascii="Garamond" w:hAnsi="Garamond" w:cstheme="minorHAnsi"/>
          <w:sz w:val="28"/>
          <w:szCs w:val="28"/>
        </w:rPr>
        <w:t xml:space="preserve">, P. S., &amp; </w:t>
      </w:r>
      <w:proofErr w:type="spellStart"/>
      <w:r w:rsidRPr="00B776F8">
        <w:rPr>
          <w:rFonts w:ascii="Garamond" w:hAnsi="Garamond" w:cstheme="minorHAnsi"/>
          <w:sz w:val="28"/>
          <w:szCs w:val="28"/>
        </w:rPr>
        <w:t>Aithal</w:t>
      </w:r>
      <w:proofErr w:type="spellEnd"/>
      <w:r w:rsidRPr="00B776F8">
        <w:rPr>
          <w:rFonts w:ascii="Garamond" w:hAnsi="Garamond" w:cstheme="minorHAnsi"/>
          <w:sz w:val="28"/>
          <w:szCs w:val="28"/>
        </w:rPr>
        <w:t xml:space="preserve">, </w:t>
      </w:r>
      <w:proofErr w:type="spellStart"/>
      <w:r w:rsidRPr="00B776F8">
        <w:rPr>
          <w:rFonts w:ascii="Garamond" w:hAnsi="Garamond" w:cstheme="minorHAnsi"/>
          <w:sz w:val="28"/>
          <w:szCs w:val="28"/>
        </w:rPr>
        <w:t>Shubhrajyotsna</w:t>
      </w:r>
      <w:proofErr w:type="spellEnd"/>
      <w:r w:rsidRPr="00B776F8">
        <w:rPr>
          <w:rFonts w:ascii="Garamond" w:hAnsi="Garamond" w:cstheme="minorHAnsi"/>
          <w:sz w:val="28"/>
          <w:szCs w:val="28"/>
        </w:rPr>
        <w:t xml:space="preserve"> (2020). Analysis of the Indian National Education Policy2020 towards Achieving its Objectives. </w:t>
      </w:r>
      <w:r w:rsidRPr="00B776F8">
        <w:rPr>
          <w:rFonts w:ascii="Garamond" w:hAnsi="Garamond" w:cstheme="minorHAnsi"/>
          <w:sz w:val="28"/>
          <w:szCs w:val="28"/>
        </w:rPr>
        <w:lastRenderedPageBreak/>
        <w:t xml:space="preserve">International Journal of Management, Technology, and Social Sciences (IJMTS), 5(2), 19-41. DOI: </w:t>
      </w:r>
      <w:hyperlink r:id="rId5" w:history="1">
        <w:r w:rsidRPr="00B776F8">
          <w:rPr>
            <w:rStyle w:val="Hyperlink"/>
            <w:rFonts w:ascii="Garamond" w:hAnsi="Garamond" w:cstheme="minorHAnsi"/>
            <w:sz w:val="28"/>
            <w:szCs w:val="28"/>
          </w:rPr>
          <w:t>http://doi.org/10.5281/zenodo.3988767</w:t>
        </w:r>
      </w:hyperlink>
    </w:p>
    <w:p w:rsidR="00451FAC" w:rsidRPr="00B776F8" w:rsidRDefault="00451FAC" w:rsidP="00451FAC">
      <w:pPr>
        <w:pStyle w:val="ListParagraph"/>
        <w:numPr>
          <w:ilvl w:val="0"/>
          <w:numId w:val="1"/>
        </w:numPr>
        <w:spacing w:before="100" w:beforeAutospacing="1" w:after="100" w:afterAutospacing="1" w:line="240" w:lineRule="auto"/>
        <w:rPr>
          <w:rFonts w:ascii="Garamond" w:eastAsia="Times New Roman" w:hAnsi="Garamond" w:cstheme="minorHAnsi"/>
          <w:sz w:val="28"/>
          <w:szCs w:val="28"/>
          <w:lang w:eastAsia="en-IN"/>
        </w:rPr>
      </w:pPr>
      <w:proofErr w:type="spellStart"/>
      <w:r w:rsidRPr="00B776F8">
        <w:rPr>
          <w:rFonts w:ascii="Garamond" w:hAnsi="Garamond" w:cstheme="minorHAnsi"/>
          <w:color w:val="222222"/>
          <w:sz w:val="28"/>
          <w:szCs w:val="28"/>
          <w:shd w:val="clear" w:color="auto" w:fill="FFFFFF"/>
        </w:rPr>
        <w:t>Venkateshwarlu</w:t>
      </w:r>
      <w:proofErr w:type="spellEnd"/>
      <w:r w:rsidRPr="00B776F8">
        <w:rPr>
          <w:rFonts w:ascii="Garamond" w:hAnsi="Garamond" w:cstheme="minorHAnsi"/>
          <w:color w:val="222222"/>
          <w:sz w:val="28"/>
          <w:szCs w:val="28"/>
          <w:shd w:val="clear" w:color="auto" w:fill="FFFFFF"/>
        </w:rPr>
        <w:t>, B. "A critical study of NEP2020: Issues, approaches</w:t>
      </w:r>
      <w:proofErr w:type="gramStart"/>
      <w:r w:rsidRPr="00B776F8">
        <w:rPr>
          <w:rFonts w:ascii="Garamond" w:hAnsi="Garamond" w:cstheme="minorHAnsi"/>
          <w:color w:val="222222"/>
          <w:sz w:val="28"/>
          <w:szCs w:val="28"/>
          <w:shd w:val="clear" w:color="auto" w:fill="FFFFFF"/>
        </w:rPr>
        <w:t>,</w:t>
      </w:r>
      <w:proofErr w:type="gramEnd"/>
      <w:r w:rsidRPr="00B776F8">
        <w:rPr>
          <w:rFonts w:ascii="Garamond" w:hAnsi="Garamond" w:cstheme="minorHAnsi"/>
          <w:color w:val="222222"/>
          <w:sz w:val="28"/>
          <w:szCs w:val="28"/>
        </w:rPr>
        <w:br/>
      </w:r>
      <w:r w:rsidRPr="00B776F8">
        <w:rPr>
          <w:rFonts w:ascii="Garamond" w:hAnsi="Garamond" w:cstheme="minorHAnsi"/>
          <w:color w:val="222222"/>
          <w:sz w:val="28"/>
          <w:szCs w:val="28"/>
          <w:shd w:val="clear" w:color="auto" w:fill="FFFFFF"/>
        </w:rPr>
        <w:t>challenges, opportunities &amp; criticism." International Journal of</w:t>
      </w:r>
      <w:r w:rsidRPr="00B776F8">
        <w:rPr>
          <w:rFonts w:ascii="Garamond" w:hAnsi="Garamond" w:cstheme="minorHAnsi"/>
          <w:color w:val="222222"/>
          <w:sz w:val="28"/>
          <w:szCs w:val="28"/>
        </w:rPr>
        <w:br/>
      </w:r>
      <w:r w:rsidRPr="00B776F8">
        <w:rPr>
          <w:rFonts w:ascii="Garamond" w:hAnsi="Garamond" w:cstheme="minorHAnsi"/>
          <w:color w:val="222222"/>
          <w:sz w:val="28"/>
          <w:szCs w:val="28"/>
          <w:shd w:val="clear" w:color="auto" w:fill="FFFFFF"/>
        </w:rPr>
        <w:t>Multidisciplinary Educational Research 10.5 (2021): 191-196.</w:t>
      </w:r>
    </w:p>
    <w:p w:rsidR="00451FAC" w:rsidRPr="00B776F8" w:rsidRDefault="00451FAC" w:rsidP="00451FAC">
      <w:pPr>
        <w:pStyle w:val="ListParagraph"/>
        <w:numPr>
          <w:ilvl w:val="0"/>
          <w:numId w:val="1"/>
        </w:numPr>
        <w:spacing w:before="100" w:beforeAutospacing="1" w:after="100" w:afterAutospacing="1" w:line="240" w:lineRule="auto"/>
        <w:rPr>
          <w:rFonts w:ascii="Garamond" w:eastAsia="Times New Roman" w:hAnsi="Garamond" w:cstheme="minorHAnsi"/>
          <w:sz w:val="28"/>
          <w:szCs w:val="28"/>
          <w:lang w:eastAsia="en-IN"/>
        </w:rPr>
      </w:pPr>
      <w:r w:rsidRPr="00B776F8">
        <w:rPr>
          <w:rFonts w:ascii="Garamond" w:hAnsi="Garamond" w:cstheme="minorHAnsi"/>
          <w:color w:val="222222"/>
          <w:sz w:val="28"/>
          <w:szCs w:val="28"/>
          <w:shd w:val="clear" w:color="auto" w:fill="FFFFFF"/>
        </w:rPr>
        <w:t xml:space="preserve">Jain, </w:t>
      </w:r>
      <w:proofErr w:type="spellStart"/>
      <w:r w:rsidRPr="00B776F8">
        <w:rPr>
          <w:rFonts w:ascii="Garamond" w:hAnsi="Garamond" w:cstheme="minorHAnsi"/>
          <w:color w:val="222222"/>
          <w:sz w:val="28"/>
          <w:szCs w:val="28"/>
          <w:shd w:val="clear" w:color="auto" w:fill="FFFFFF"/>
        </w:rPr>
        <w:t>Manya</w:t>
      </w:r>
      <w:proofErr w:type="spellEnd"/>
      <w:r w:rsidRPr="00B776F8">
        <w:rPr>
          <w:rFonts w:ascii="Garamond" w:hAnsi="Garamond" w:cstheme="minorHAnsi"/>
          <w:color w:val="222222"/>
          <w:sz w:val="28"/>
          <w:szCs w:val="28"/>
          <w:shd w:val="clear" w:color="auto" w:fill="FFFFFF"/>
        </w:rPr>
        <w:t>. A study of India's failing Education System. XXT Annual</w:t>
      </w:r>
      <w:r w:rsidRPr="00B776F8">
        <w:rPr>
          <w:rFonts w:ascii="Garamond" w:hAnsi="Garamond" w:cstheme="minorHAnsi"/>
          <w:color w:val="222222"/>
          <w:sz w:val="28"/>
          <w:szCs w:val="28"/>
        </w:rPr>
        <w:br/>
      </w:r>
      <w:r w:rsidRPr="00B776F8">
        <w:rPr>
          <w:rFonts w:ascii="Garamond" w:hAnsi="Garamond" w:cstheme="minorHAnsi"/>
          <w:color w:val="222222"/>
          <w:sz w:val="28"/>
          <w:szCs w:val="28"/>
          <w:shd w:val="clear" w:color="auto" w:fill="FFFFFF"/>
        </w:rPr>
        <w:t>International Conference Proceedings; January 2020</w:t>
      </w:r>
    </w:p>
    <w:p w:rsidR="00451FAC" w:rsidRPr="00B776F8" w:rsidRDefault="00451FAC" w:rsidP="00451FAC">
      <w:pPr>
        <w:pStyle w:val="ListParagraph"/>
        <w:numPr>
          <w:ilvl w:val="0"/>
          <w:numId w:val="1"/>
        </w:numPr>
        <w:spacing w:before="100" w:beforeAutospacing="1" w:after="100" w:afterAutospacing="1" w:line="240" w:lineRule="auto"/>
        <w:rPr>
          <w:rFonts w:ascii="Garamond" w:eastAsia="Times New Roman" w:hAnsi="Garamond" w:cstheme="minorHAnsi"/>
          <w:sz w:val="28"/>
          <w:szCs w:val="28"/>
          <w:lang w:eastAsia="en-IN"/>
        </w:rPr>
      </w:pPr>
      <w:proofErr w:type="spellStart"/>
      <w:r w:rsidRPr="00B776F8">
        <w:rPr>
          <w:rFonts w:ascii="Garamond" w:hAnsi="Garamond" w:cstheme="minorHAnsi"/>
          <w:sz w:val="28"/>
          <w:szCs w:val="28"/>
        </w:rPr>
        <w:t>Aithal</w:t>
      </w:r>
      <w:proofErr w:type="spellEnd"/>
      <w:r w:rsidRPr="00B776F8">
        <w:rPr>
          <w:rFonts w:ascii="Garamond" w:hAnsi="Garamond" w:cstheme="minorHAnsi"/>
          <w:sz w:val="28"/>
          <w:szCs w:val="28"/>
        </w:rPr>
        <w:t xml:space="preserve">, P. S., Suresh Kumar, P. M., and </w:t>
      </w:r>
      <w:proofErr w:type="spellStart"/>
      <w:r w:rsidRPr="00B776F8">
        <w:rPr>
          <w:rFonts w:ascii="Garamond" w:hAnsi="Garamond" w:cstheme="minorHAnsi"/>
          <w:sz w:val="28"/>
          <w:szCs w:val="28"/>
        </w:rPr>
        <w:t>Pavithra</w:t>
      </w:r>
      <w:proofErr w:type="spellEnd"/>
      <w:r w:rsidRPr="00B776F8">
        <w:rPr>
          <w:rFonts w:ascii="Garamond" w:hAnsi="Garamond" w:cstheme="minorHAnsi"/>
          <w:sz w:val="28"/>
          <w:szCs w:val="28"/>
        </w:rPr>
        <w:t xml:space="preserve"> </w:t>
      </w:r>
      <w:proofErr w:type="spellStart"/>
      <w:r w:rsidRPr="00B776F8">
        <w:rPr>
          <w:rFonts w:ascii="Garamond" w:hAnsi="Garamond" w:cstheme="minorHAnsi"/>
          <w:sz w:val="28"/>
          <w:szCs w:val="28"/>
        </w:rPr>
        <w:t>Kumari</w:t>
      </w:r>
      <w:proofErr w:type="spellEnd"/>
      <w:r w:rsidRPr="00B776F8">
        <w:rPr>
          <w:rFonts w:ascii="Garamond" w:hAnsi="Garamond" w:cstheme="minorHAnsi"/>
          <w:sz w:val="28"/>
          <w:szCs w:val="28"/>
        </w:rPr>
        <w:t xml:space="preserve">, (2015). Methods and Approaches for Employability Skill Generation in Higher Educational Institutions. International Journal of Management, IT and Engineering (IJMIE), 5(7), 390-410. DOI: http://doi.org/10.5281/zenodo.267044. </w:t>
      </w:r>
      <w:r w:rsidRPr="00B776F8">
        <w:rPr>
          <w:rFonts w:ascii="Garamond" w:hAnsi="Garamond" w:cstheme="minorHAnsi"/>
          <w:sz w:val="28"/>
          <w:szCs w:val="28"/>
        </w:rPr>
        <w:br/>
      </w:r>
      <w:r w:rsidRPr="00B776F8">
        <w:rPr>
          <w:rFonts w:ascii="Garamond" w:hAnsi="Garamond" w:cstheme="minorHAnsi"/>
          <w:i/>
          <w:iCs/>
          <w:sz w:val="28"/>
          <w:szCs w:val="28"/>
        </w:rPr>
        <w:t>(PDF) Analysis of the Indian National Education Policy 2020 towards Achieving its Objectives</w:t>
      </w:r>
      <w:r w:rsidRPr="00B776F8">
        <w:rPr>
          <w:rFonts w:ascii="Garamond" w:hAnsi="Garamond" w:cstheme="minorHAnsi"/>
          <w:sz w:val="28"/>
          <w:szCs w:val="28"/>
        </w:rPr>
        <w:t xml:space="preserve">. </w:t>
      </w:r>
    </w:p>
    <w:p w:rsidR="00AE011B" w:rsidRPr="00B776F8" w:rsidRDefault="00AE011B">
      <w:pPr>
        <w:rPr>
          <w:rFonts w:ascii="Garamond" w:hAnsi="Garamond" w:cstheme="minorHAnsi"/>
          <w:sz w:val="28"/>
          <w:szCs w:val="28"/>
        </w:rPr>
      </w:pPr>
    </w:p>
    <w:sectPr w:rsidR="00AE011B" w:rsidRPr="00B77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0F3C"/>
    <w:multiLevelType w:val="hybridMultilevel"/>
    <w:tmpl w:val="2D30047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DF4148"/>
    <w:multiLevelType w:val="hybridMultilevel"/>
    <w:tmpl w:val="4F1E9F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CE43DE1"/>
    <w:multiLevelType w:val="hybridMultilevel"/>
    <w:tmpl w:val="32C2C2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C4"/>
    <w:rsid w:val="00202F53"/>
    <w:rsid w:val="003B2DC4"/>
    <w:rsid w:val="00451FAC"/>
    <w:rsid w:val="006F66CB"/>
    <w:rsid w:val="00720553"/>
    <w:rsid w:val="007C05A7"/>
    <w:rsid w:val="009F5785"/>
    <w:rsid w:val="00AB3874"/>
    <w:rsid w:val="00AE011B"/>
    <w:rsid w:val="00B776F8"/>
    <w:rsid w:val="00BA2319"/>
    <w:rsid w:val="00BD3899"/>
    <w:rsid w:val="00D054C3"/>
    <w:rsid w:val="00DB03D0"/>
    <w:rsid w:val="00E36EF9"/>
    <w:rsid w:val="00E52AFE"/>
    <w:rsid w:val="00E6149F"/>
    <w:rsid w:val="00F95B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B2CC7-4C6C-4C70-A437-74290837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2">
    <w:name w:val="pb-2"/>
    <w:basedOn w:val="Normal"/>
    <w:rsid w:val="00AE01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ssue-underline">
    <w:name w:val="issue-underline"/>
    <w:basedOn w:val="DefaultParagraphFont"/>
    <w:rsid w:val="00AE011B"/>
  </w:style>
  <w:style w:type="character" w:styleId="Hyperlink">
    <w:name w:val="Hyperlink"/>
    <w:basedOn w:val="DefaultParagraphFont"/>
    <w:uiPriority w:val="99"/>
    <w:unhideWhenUsed/>
    <w:rsid w:val="00451FAC"/>
    <w:rPr>
      <w:color w:val="0000FF"/>
      <w:u w:val="single"/>
    </w:rPr>
  </w:style>
  <w:style w:type="paragraph" w:styleId="ListParagraph">
    <w:name w:val="List Paragraph"/>
    <w:basedOn w:val="Normal"/>
    <w:uiPriority w:val="34"/>
    <w:qFormat/>
    <w:rsid w:val="00451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i.org/10.5281/zenodo.39887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7</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2023-06-30T06:31:00Z</dcterms:created>
  <dcterms:modified xsi:type="dcterms:W3CDTF">2023-07-04T04:09:00Z</dcterms:modified>
</cp:coreProperties>
</file>