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autoSpaceDE w:val="0"/>
        <w:autoSpaceDN w:val="0"/>
        <w:adjustRightInd w:val="0"/>
        <w:spacing w:after="0" w:line="360" w:lineRule="auto"/>
        <w:jc w:val="center"/>
        <w:rPr>
          <w:rFonts w:ascii="Times New Roman" w:cs="Times New Roman" w:hAnsi="Times New Roman"/>
          <w:b/>
          <w:bCs/>
          <w:sz w:val="28"/>
          <w:szCs w:val="24"/>
        </w:rPr>
      </w:pPr>
      <w:r>
        <w:rPr>
          <w:rFonts w:ascii="Times New Roman" w:cs="Times New Roman" w:hAnsi="Times New Roman"/>
          <w:b/>
          <w:bCs/>
          <w:sz w:val="28"/>
          <w:szCs w:val="24"/>
        </w:rPr>
        <w:t>A rare condition in TB Meningitis - Cerebral Salt Wasting Syndrome</w:t>
      </w:r>
    </w:p>
    <w:p>
      <w:pPr>
        <w:spacing w:after="0"/>
        <w:jc w:val="center"/>
        <w:rPr>
          <w:rFonts w:ascii="Times New Roman" w:cs="Times New Roman" w:hAnsi="Times New Roman"/>
          <w:bCs/>
          <w:i/>
          <w:sz w:val="24"/>
          <w:szCs w:val="24"/>
          <w:vertAlign w:val="superscript"/>
        </w:rPr>
      </w:pPr>
      <w:r>
        <w:rPr>
          <w:rFonts w:ascii="Times New Roman" w:cs="Times New Roman" w:hAnsi="Times New Roman"/>
          <w:b/>
          <w:sz w:val="24"/>
          <w:szCs w:val="24"/>
        </w:rPr>
        <w:t>Ch. Rohith Yadav</w:t>
      </w:r>
      <w:r>
        <w:rPr>
          <w:rFonts w:ascii="Times New Roman" w:hAnsi="Times New Roman"/>
          <w:b/>
          <w:sz w:val="24"/>
          <w:szCs w:val="24"/>
          <w:vertAlign w:val="superscript"/>
        </w:rPr>
        <w:t>*1</w:t>
      </w:r>
    </w:p>
    <w:p>
      <w:pPr>
        <w:pStyle w:val="16"/>
        <w:spacing w:line="480" w:lineRule="auto"/>
        <w:jc w:val="both"/>
      </w:pPr>
      <w:r>
        <w:rPr>
          <w:vertAlign w:val="superscript"/>
        </w:rPr>
        <w:t>*1</w:t>
      </w:r>
      <w:r>
        <w:t>Pharm.D Department of Pharmacy Practice, Rao’s College of Pharmacy, Nellore,</w:t>
      </w:r>
      <w:r>
        <w:rPr>
          <w:rFonts w:ascii="Times New Roman" w:cs="Times New Roman" w:hAnsi="Times New Roman"/>
          <w:sz w:val="24"/>
          <w:szCs w:val="24"/>
        </w:rPr>
        <w:t xml:space="preserve">                   A P – 524 320.</w:t>
      </w:r>
    </w:p>
    <w:p>
      <w:pPr>
        <w:autoSpaceDE w:val="0"/>
        <w:autoSpaceDN w:val="0"/>
        <w:adjustRightInd w:val="0"/>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ABSTRACT</w:t>
      </w:r>
    </w:p>
    <w:p>
      <w:pPr>
        <w:autoSpaceDE w:val="0"/>
        <w:autoSpaceDN w:val="0"/>
        <w:adjustRightInd w:val="0"/>
        <w:spacing w:after="0" w:line="360" w:lineRule="auto"/>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TB can induce hyponatremia via several mechanisms containing local invasion to the adrenal glands (adrenal insufficiency) &amp; hypothalamus or pituitary gland, tubercular meningitis and </w:t>
      </w:r>
      <w:r>
        <w:rPr>
          <w:rFonts w:ascii="Times New Roman" w:cs="Times New Roman" w:hAnsi="Times New Roman"/>
          <w:sz w:val="24"/>
          <w:szCs w:val="24"/>
        </w:rPr>
        <w:t>secretion</w:t>
      </w:r>
      <w:r>
        <w:rPr>
          <w:rFonts w:ascii="Times New Roman" w:cs="Times New Roman" w:hAnsi="Times New Roman"/>
          <w:color w:val="000000"/>
          <w:sz w:val="24"/>
          <w:szCs w:val="24"/>
        </w:rPr>
        <w:t xml:space="preserve"> of inappropriate </w:t>
      </w:r>
      <w:r>
        <w:rPr>
          <w:rFonts w:ascii="Times New Roman" w:cs="Times New Roman" w:hAnsi="Times New Roman"/>
          <w:sz w:val="24"/>
          <w:szCs w:val="24"/>
        </w:rPr>
        <w:t xml:space="preserve">antidiuretic hormone (SIADH) </w:t>
      </w:r>
      <w:r>
        <w:rPr>
          <w:rFonts w:ascii="Times New Roman" w:cs="Times New Roman" w:hAnsi="Times New Roman"/>
          <w:color w:val="000000"/>
          <w:sz w:val="24"/>
          <w:szCs w:val="24"/>
        </w:rPr>
        <w:t>via pulmonary infection.</w:t>
      </w:r>
    </w:p>
    <w:p>
      <w:pPr>
        <w:autoSpaceDE w:val="0"/>
        <w:autoSpaceDN w:val="0"/>
        <w:adjustRightInd w:val="0"/>
        <w:spacing w:after="0" w:line="36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When hyponatremia is associated with central nervous system (CNS) disease one would normally think of syndrome of SIADH as a possibility. The SIADH may have been a response by the posterior pituitary to a decrease in intravascular volume resulting from the extensive pulmonary disease or associated hypoxia or the tuberculous lung may have released ADH or an ADH-like substance. Rarely tuberculous meningitis cases are with severe hyponatremia in whom SIADH was initially considered as the cause and later diagnosed as cerebral salt wasting syndrome (CSWS) based on certain clinical findings and laboratory parameters. </w:t>
      </w:r>
    </w:p>
    <w:p>
      <w:pPr>
        <w:pStyle w:val="15"/>
        <w:spacing w:line="360" w:lineRule="auto"/>
        <w:ind w:firstLine="720"/>
        <w:jc w:val="both"/>
        <w:rPr>
          <w:rFonts w:ascii="Times New Roman" w:cs="Times New Roman" w:hAnsi="Times New Roman"/>
          <w:color w:val="000000"/>
        </w:rPr>
      </w:pPr>
      <w:r>
        <w:rPr>
          <w:rFonts w:ascii="Times New Roman" w:cs="Times New Roman" w:hAnsi="Times New Roman"/>
          <w:color w:val="000000"/>
        </w:rPr>
        <w:t>Hyponatremia is considered as one of the most common and important electrolyte abnormalities. It must be considered in all seriously ill hospitalized patients. It is defined as depletion in the serum sodium (Na</w:t>
      </w:r>
      <w:r>
        <w:rPr>
          <w:rFonts w:ascii="Times New Roman" w:cs="Times New Roman" w:hAnsi="Times New Roman"/>
          <w:color w:val="000000"/>
          <w:vertAlign w:val="superscript"/>
        </w:rPr>
        <w:t>+</w:t>
      </w:r>
      <w:r>
        <w:rPr>
          <w:rFonts w:ascii="Times New Roman" w:cs="Times New Roman" w:hAnsi="Times New Roman"/>
          <w:color w:val="000000"/>
        </w:rPr>
        <w:t xml:space="preserve">) concentration to a level below 136 mmol/l and severe hyponatremia is defined as serum sodium concentration lesser than 115 mmol/l which it can be considered as life-threatening condition. The prevalence of severe hyponatremia and its non - severe form are estimated 1 – 4 % and 15 – 30 % of inpatients respectively. </w:t>
      </w:r>
    </w:p>
    <w:p>
      <w:pPr>
        <w:autoSpaceDE w:val="0"/>
        <w:autoSpaceDN w:val="0"/>
        <w:adjustRightInd w:val="0"/>
        <w:spacing w:after="0" w:line="360" w:lineRule="auto"/>
        <w:ind w:firstLine="720"/>
        <w:jc w:val="both"/>
        <w:rPr>
          <w:rFonts w:ascii="Times New Roman" w:cs="Times New Roman" w:hAnsi="Times New Roman"/>
          <w:sz w:val="24"/>
          <w:szCs w:val="24"/>
        </w:rPr>
      </w:pPr>
    </w:p>
    <w:p>
      <w:pPr>
        <w:autoSpaceDE w:val="0"/>
        <w:autoSpaceDN w:val="0"/>
        <w:adjustRightInd w:val="0"/>
        <w:spacing w:after="0" w:line="360" w:lineRule="auto"/>
        <w:jc w:val="both"/>
        <w:rPr>
          <w:rFonts w:ascii="Times New Roman" w:cs="Times New Roman" w:hAnsi="Times New Roman"/>
          <w:sz w:val="24"/>
          <w:szCs w:val="24"/>
        </w:rPr>
      </w:pPr>
      <w:r>
        <w:rPr>
          <w:rFonts w:ascii="Times New Roman" w:cs="Times New Roman" w:hAnsi="Times New Roman"/>
          <w:b/>
          <w:sz w:val="24"/>
          <w:szCs w:val="24"/>
        </w:rPr>
        <w:t xml:space="preserve">KEY WORDS: </w:t>
      </w:r>
      <w:r>
        <w:rPr>
          <w:rFonts w:ascii="Times New Roman" w:cs="Times New Roman" w:hAnsi="Times New Roman"/>
          <w:color w:val="000000"/>
          <w:sz w:val="24"/>
          <w:szCs w:val="24"/>
        </w:rPr>
        <w:t xml:space="preserve">Tubercular Meningitis, Hyponatremia, Secretion of Inappropriate </w:t>
      </w:r>
      <w:r>
        <w:rPr>
          <w:rFonts w:ascii="Times New Roman" w:cs="Times New Roman" w:hAnsi="Times New Roman"/>
          <w:sz w:val="24"/>
          <w:szCs w:val="24"/>
        </w:rPr>
        <w:t>Antidiuretic Hormone (SIADH) &amp; Cerebral Salt Wasting Syndrome (CSWS).</w:t>
      </w:r>
    </w:p>
    <w:p/>
    <w:p>
      <w:pPr>
        <w:pStyle w:val="16"/>
        <w:spacing w:line="480" w:lineRule="auto"/>
        <w:jc w:val="both"/>
        <w:rPr>
          <w:b/>
          <w:bCs/>
          <w:szCs w:val="15"/>
        </w:rPr>
      </w:pPr>
    </w:p>
    <w:p>
      <w:pPr>
        <w:pStyle w:val="16"/>
        <w:spacing w:line="480" w:lineRule="auto"/>
        <w:jc w:val="both"/>
        <w:rPr>
          <w:b/>
          <w:bCs/>
          <w:szCs w:val="15"/>
        </w:rPr>
      </w:pPr>
    </w:p>
    <w:p>
      <w:pPr>
        <w:pStyle w:val="16"/>
        <w:spacing w:line="480" w:lineRule="auto"/>
        <w:jc w:val="both"/>
        <w:rPr>
          <w:b/>
          <w:bCs/>
          <w:szCs w:val="15"/>
        </w:rPr>
      </w:pPr>
    </w:p>
    <w:p>
      <w:pPr>
        <w:pStyle w:val="16"/>
        <w:spacing w:line="480" w:lineRule="auto"/>
        <w:jc w:val="both"/>
        <w:rPr>
          <w:b/>
          <w:bCs/>
          <w:szCs w:val="15"/>
        </w:rPr>
      </w:pPr>
      <w:r>
        <w:rPr>
          <w:b/>
          <w:bCs/>
          <w:szCs w:val="15"/>
        </w:rPr>
        <w:t>Corresponding Author:</w:t>
      </w:r>
    </w:p>
    <w:p>
      <w:pPr>
        <w:pStyle w:val="16"/>
        <w:spacing w:line="480" w:lineRule="auto"/>
        <w:jc w:val="both"/>
      </w:pPr>
      <w:r>
        <w:rPr>
          <w:b/>
        </w:rPr>
        <w:t>Ch. Rohith Yadav</w:t>
      </w:r>
      <w:r>
        <w:t xml:space="preserve"> </w:t>
      </w:r>
    </w:p>
    <w:p>
      <w:pPr>
        <w:pStyle w:val="16"/>
        <w:spacing w:line="480" w:lineRule="auto"/>
        <w:jc w:val="both"/>
      </w:pPr>
      <w:r>
        <w:t xml:space="preserve">Pharm. D </w:t>
      </w:r>
    </w:p>
    <w:p>
      <w:pPr>
        <w:pStyle w:val="16"/>
        <w:spacing w:line="480" w:lineRule="auto"/>
        <w:jc w:val="both"/>
      </w:pPr>
      <w:r>
        <w:t>Department of Pharmacy Practice</w:t>
      </w:r>
    </w:p>
    <w:p>
      <w:pPr>
        <w:pStyle w:val="16"/>
        <w:spacing w:line="480" w:lineRule="auto"/>
        <w:jc w:val="both"/>
      </w:pPr>
      <w:r>
        <w:t>Rao's College of Pharmacy, Nellore, A P – 524 320.</w:t>
      </w:r>
    </w:p>
    <w:p>
      <w:pPr>
        <w:pStyle w:val="16"/>
        <w:spacing w:line="480" w:lineRule="auto"/>
        <w:jc w:val="both"/>
        <w:rPr>
          <w:b/>
        </w:rPr>
      </w:pPr>
      <w:r>
        <w:rPr>
          <w:b/>
        </w:rPr>
        <w:t xml:space="preserve">Mobile: </w:t>
      </w:r>
      <w:r>
        <w:t>91+ 9985955872.</w:t>
      </w:r>
    </w:p>
    <w:p>
      <w:pPr>
        <w:pStyle w:val="16"/>
        <w:spacing w:line="480" w:lineRule="auto"/>
        <w:jc w:val="both"/>
        <w:rPr>
          <w:color w:val="FF0000"/>
        </w:rPr>
      </w:pPr>
      <w:r>
        <w:rPr>
          <w:b/>
        </w:rPr>
        <w:t>E-mail address:  chilamalarohith@gmail.com</w:t>
      </w:r>
      <w:bookmarkStart w:id="0" w:name="_GoBack"/>
      <w:bookmarkEnd w:id="0"/>
    </w:p>
    <w:p/>
    <w:p/>
    <w:sectPr>
      <w:pgSz w:w="12240" w:h="15840"/>
      <w:pgMar w:top="990" w:right="1440" w:bottom="1440" w:left="1440"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Arial">
    <w:panose1 w:val="00000000000000000000"/>
    <w:charset w:val="00"/>
    <w:family w:val="auto"/>
    <w:pitch w:val="variable"/>
    <w:sig w:usb0="00000000" w:usb1="00000000" w:usb2="00000000" w:usb3="00000000" w:csb0="00000000" w:csb1="00000000"/>
  </w:font>
  <w:font w:name="Luxi Sans">
    <w:altName w:val="Droid Sans"/>
    <w:panose1 w:val="00000000000000000000"/>
    <w:charset w:val="00"/>
    <w:family w:val="auto"/>
    <w:pitch w:val="variable"/>
    <w:sig w:usb0="00000000" w:usb1="00000000" w:usb2="00000000" w:usb3="00000000" w:csb0="00000000" w:csb1="00000000"/>
  </w:font>
  <w:font w:name="Evermore Ming">
    <w:altName w:val="Droid Sans"/>
    <w:panose1 w:val="00000000000000000000"/>
    <w:charset w:val="00"/>
    <w:family w:val="auto"/>
    <w:pitch w:val="variable"/>
    <w:sig w:usb0="00000000" w:usb1="00000000" w:usb2="00000000" w:usb3="00000000" w:csb0="00000000" w:csb1="00000000"/>
  </w:font>
  <w:font w:name="CapitoliumNews">
    <w:altName w:val="Arial"/>
    <w:panose1 w:val="00000000000000000000"/>
    <w:charset w:val="00"/>
    <w:family w:val="roman"/>
    <w:pitch w:val="variable"/>
    <w:sig w:usb0="00000003" w:usb1="00000000" w:usb2="00000000" w:usb3="00000000" w:csb0="0000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4"/>
  <w:bordersDoNotSurroundHeader/>
  <w:bordersDoNotSurroundFooter/>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line="276" w:lineRule="auto"/>
    </w:pPr>
    <w:rPr>
      <w:rFonts w:ascii="Calibri" w:eastAsia="Calibri" w:cs="Arial" w:hAnsi="Calibri"/>
      <w:sz w:val="22"/>
      <w:szCs w:val="22"/>
      <w:lang w:val="en-US"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Evermore Ming"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CM4"/>
    <w:basedOn w:val="0"/>
    <w:next w:val="0"/>
    <w:pPr>
      <w:autoSpaceDE w:val="0"/>
      <w:autoSpaceDN w:val="0"/>
      <w:adjustRightInd w:val="0"/>
      <w:spacing w:after="0" w:line="231" w:lineRule="atLeast"/>
    </w:pPr>
    <w:rPr>
      <w:rFonts w:ascii="CapitoliumNews" w:hAnsi="CapitoliumNews"/>
      <w:sz w:val="24"/>
      <w:szCs w:val="24"/>
    </w:rPr>
  </w:style>
  <w:style w:type="paragraph" w:customStyle="1" w:styleId="16">
    <w:name w:val="Default"/>
    <w:pPr>
      <w:autoSpaceDE w:val="0"/>
      <w:autoSpaceDN w:val="0"/>
      <w:adjustRightInd w:val="0"/>
      <w:spacing w:after="0" w:line="240" w:lineRule="auto"/>
    </w:pPr>
    <w:rPr>
      <w:rFonts w:ascii="Times New Roman" w:eastAsia="宋体" w:cs="Times New Roman" w:hAnsi="Times New Roman"/>
      <w:color w:val="000000"/>
      <w:sz w:val="24"/>
      <w:szCs w:val="24"/>
      <w:lang w:val="en-US" w:eastAsia="en-US" w:bidi="te-I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8</TotalTime>
  <Application>Yozo_Office</Application>
  <Pages>2</Pages>
  <Words>284</Words>
  <Characters>1657</Characters>
  <Lines>39</Lines>
  <Paragraphs>15</Paragraphs>
  <CharactersWithSpaces>1951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Dell</dc:creator>
  <cp:lastModifiedBy>vivo user</cp:lastModifiedBy>
  <cp:revision>6</cp:revision>
  <dcterms:created xsi:type="dcterms:W3CDTF">2019-12-22T01:34:00Z</dcterms:created>
  <dcterms:modified xsi:type="dcterms:W3CDTF">2024-03-27T09:36:31Z</dcterms:modified>
</cp:coreProperties>
</file>