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50A0F" w14:textId="77777777" w:rsidR="00122AD4" w:rsidRDefault="002531F9">
      <w:pPr>
        <w:pStyle w:val="BodyText"/>
        <w:tabs>
          <w:tab w:val="left" w:pos="0"/>
        </w:tabs>
        <w:spacing w:before="9"/>
        <w:jc w:val="center"/>
        <w:rPr>
          <w:b/>
          <w:sz w:val="28"/>
          <w:szCs w:val="18"/>
        </w:rPr>
      </w:pPr>
      <w:r>
        <w:rPr>
          <w:b/>
          <w:sz w:val="28"/>
          <w:szCs w:val="18"/>
        </w:rPr>
        <w:t>PREVENTION OF CYBER FRAUDS IN THE BANKING SECTOR</w:t>
      </w:r>
    </w:p>
    <w:p w14:paraId="0E0FD42B" w14:textId="77777777" w:rsidR="00122AD4" w:rsidRDefault="002531F9">
      <w:pPr>
        <w:spacing w:after="120"/>
        <w:jc w:val="center"/>
        <w:rPr>
          <w:rFonts w:ascii="Times New Roman" w:hAnsi="Times New Roman"/>
          <w:b/>
          <w:sz w:val="24"/>
          <w:szCs w:val="24"/>
        </w:rPr>
      </w:pPr>
      <w:r>
        <w:rPr>
          <w:rFonts w:ascii="Times New Roman" w:hAnsi="Times New Roman"/>
          <w:b/>
          <w:sz w:val="24"/>
          <w:szCs w:val="24"/>
        </w:rPr>
        <w:t>Muhammed Raiyan A</w:t>
      </w:r>
      <w:r>
        <w:rPr>
          <w:rFonts w:ascii="Times New Roman" w:hAnsi="Times New Roman"/>
          <w:b/>
          <w:sz w:val="24"/>
          <w:szCs w:val="24"/>
          <w:vertAlign w:val="superscript"/>
        </w:rPr>
        <w:t>1</w:t>
      </w:r>
      <w:r>
        <w:rPr>
          <w:rFonts w:ascii="Times New Roman" w:hAnsi="Times New Roman"/>
          <w:b/>
          <w:sz w:val="24"/>
          <w:szCs w:val="24"/>
        </w:rPr>
        <w:t>, Sushma.Ch</w:t>
      </w:r>
      <w:r>
        <w:rPr>
          <w:rFonts w:ascii="Times New Roman" w:hAnsi="Times New Roman"/>
          <w:b/>
          <w:sz w:val="24"/>
          <w:szCs w:val="24"/>
          <w:vertAlign w:val="superscript"/>
        </w:rPr>
        <w:t>2</w:t>
      </w:r>
      <w:r>
        <w:rPr>
          <w:rFonts w:ascii="Times New Roman" w:hAnsi="Times New Roman"/>
          <w:b/>
          <w:sz w:val="24"/>
          <w:szCs w:val="24"/>
        </w:rPr>
        <w:t>, Harikrishnan P R</w:t>
      </w:r>
      <w:r>
        <w:rPr>
          <w:rFonts w:ascii="Times New Roman" w:hAnsi="Times New Roman"/>
          <w:b/>
          <w:sz w:val="24"/>
          <w:szCs w:val="24"/>
          <w:vertAlign w:val="superscript"/>
        </w:rPr>
        <w:t>3</w:t>
      </w:r>
      <w:r>
        <w:rPr>
          <w:rFonts w:ascii="Times New Roman" w:hAnsi="Times New Roman"/>
          <w:b/>
          <w:sz w:val="24"/>
          <w:szCs w:val="24"/>
        </w:rPr>
        <w:t>, Kavya Mohan K</w:t>
      </w:r>
      <w:r>
        <w:rPr>
          <w:rFonts w:ascii="Times New Roman" w:hAnsi="Times New Roman"/>
          <w:b/>
          <w:sz w:val="24"/>
          <w:szCs w:val="24"/>
          <w:vertAlign w:val="superscript"/>
        </w:rPr>
        <w:t>4</w:t>
      </w:r>
      <w:r>
        <w:rPr>
          <w:rFonts w:ascii="Times New Roman" w:hAnsi="Times New Roman"/>
          <w:b/>
          <w:sz w:val="24"/>
          <w:szCs w:val="24"/>
        </w:rPr>
        <w:t xml:space="preserve">, </w:t>
      </w:r>
    </w:p>
    <w:p w14:paraId="104B2CB2" w14:textId="77777777" w:rsidR="00122AD4" w:rsidRDefault="002531F9">
      <w:pPr>
        <w:spacing w:after="120"/>
        <w:jc w:val="center"/>
        <w:rPr>
          <w:rFonts w:ascii="Times New Roman" w:hAnsi="Times New Roman"/>
          <w:b/>
          <w:sz w:val="24"/>
          <w:szCs w:val="24"/>
          <w:vertAlign w:val="superscript"/>
        </w:rPr>
      </w:pPr>
      <w:r>
        <w:rPr>
          <w:rFonts w:ascii="Times New Roman" w:hAnsi="Times New Roman"/>
          <w:b/>
          <w:sz w:val="24"/>
          <w:szCs w:val="24"/>
        </w:rPr>
        <w:t>Bhavana S</w:t>
      </w:r>
      <w:r>
        <w:rPr>
          <w:rFonts w:ascii="Times New Roman" w:hAnsi="Times New Roman"/>
          <w:b/>
          <w:sz w:val="24"/>
          <w:szCs w:val="24"/>
          <w:vertAlign w:val="superscript"/>
        </w:rPr>
        <w:t>5</w:t>
      </w:r>
      <w:r>
        <w:rPr>
          <w:rFonts w:ascii="Times New Roman" w:hAnsi="Times New Roman"/>
          <w:b/>
          <w:sz w:val="24"/>
          <w:szCs w:val="24"/>
        </w:rPr>
        <w:t>, Sanjana Varma</w:t>
      </w:r>
      <w:r>
        <w:rPr>
          <w:rFonts w:ascii="Times New Roman" w:hAnsi="Times New Roman"/>
          <w:b/>
          <w:sz w:val="24"/>
          <w:szCs w:val="24"/>
          <w:vertAlign w:val="superscript"/>
        </w:rPr>
        <w:t>6</w:t>
      </w:r>
      <w:r>
        <w:rPr>
          <w:rFonts w:ascii="Times New Roman" w:hAnsi="Times New Roman"/>
          <w:b/>
          <w:sz w:val="24"/>
          <w:szCs w:val="24"/>
        </w:rPr>
        <w:t>, Dr. Gobi Natesan</w:t>
      </w:r>
    </w:p>
    <w:p w14:paraId="2EFE6F8C" w14:textId="77777777" w:rsidR="00122AD4" w:rsidRDefault="002531F9">
      <w:pPr>
        <w:pStyle w:val="IEEEAuthorAffiliation"/>
        <w:spacing w:after="0"/>
        <w:rPr>
          <w:sz w:val="22"/>
          <w:szCs w:val="22"/>
        </w:rPr>
      </w:pPr>
      <w:r>
        <w:rPr>
          <w:sz w:val="22"/>
          <w:szCs w:val="22"/>
          <w:vertAlign w:val="superscript"/>
        </w:rPr>
        <w:t>1</w:t>
      </w:r>
      <w:r>
        <w:rPr>
          <w:sz w:val="22"/>
          <w:szCs w:val="22"/>
        </w:rPr>
        <w:t xml:space="preserve">Department of CS &amp; IT JAIN(Deemed-To-Be-University) Bangalore, India </w:t>
      </w:r>
      <w:hyperlink r:id="rId8" w:history="1">
        <w:r>
          <w:rPr>
            <w:rStyle w:val="Hyperlink"/>
            <w:sz w:val="22"/>
            <w:szCs w:val="22"/>
          </w:rPr>
          <w:t>raiyanaaliyar@gmail.com</w:t>
        </w:r>
      </w:hyperlink>
    </w:p>
    <w:p w14:paraId="720A2140" w14:textId="77777777" w:rsidR="00122AD4" w:rsidRDefault="002531F9">
      <w:pPr>
        <w:pStyle w:val="IEEEAuthorAffiliation"/>
        <w:spacing w:after="0"/>
        <w:rPr>
          <w:sz w:val="22"/>
          <w:szCs w:val="22"/>
        </w:rPr>
      </w:pPr>
      <w:r>
        <w:rPr>
          <w:sz w:val="22"/>
          <w:szCs w:val="22"/>
          <w:vertAlign w:val="superscript"/>
        </w:rPr>
        <w:t>2</w:t>
      </w:r>
      <w:r>
        <w:rPr>
          <w:sz w:val="22"/>
          <w:szCs w:val="22"/>
        </w:rPr>
        <w:t xml:space="preserve">Department of CS &amp; IT JAIN(Deemed-To-Be-University) Bangalore, India </w:t>
      </w:r>
      <w:hyperlink r:id="rId9" w:history="1">
        <w:r>
          <w:rPr>
            <w:rStyle w:val="Hyperlink"/>
            <w:sz w:val="22"/>
            <w:szCs w:val="22"/>
          </w:rPr>
          <w:t>sushmach.0239@gmail.com</w:t>
        </w:r>
      </w:hyperlink>
    </w:p>
    <w:p w14:paraId="09AA9AD3" w14:textId="77777777" w:rsidR="00122AD4" w:rsidRDefault="002531F9">
      <w:pPr>
        <w:pStyle w:val="IEEEAuthorAffiliation"/>
        <w:spacing w:after="0"/>
        <w:rPr>
          <w:sz w:val="22"/>
          <w:szCs w:val="22"/>
        </w:rPr>
      </w:pPr>
      <w:r>
        <w:rPr>
          <w:sz w:val="22"/>
          <w:szCs w:val="22"/>
          <w:vertAlign w:val="superscript"/>
        </w:rPr>
        <w:t>3</w:t>
      </w:r>
      <w:r>
        <w:rPr>
          <w:sz w:val="22"/>
          <w:szCs w:val="22"/>
        </w:rPr>
        <w:t xml:space="preserve">Department of CS &amp; IT JAIN(Deemed-To-Be-University) Bangalore, India </w:t>
      </w:r>
      <w:hyperlink r:id="rId10" w:history="1">
        <w:r>
          <w:rPr>
            <w:rStyle w:val="Hyperlink"/>
            <w:sz w:val="22"/>
            <w:szCs w:val="22"/>
          </w:rPr>
          <w:t>krishnanh186@gmail.com</w:t>
        </w:r>
      </w:hyperlink>
    </w:p>
    <w:p w14:paraId="71024CD1" w14:textId="77777777" w:rsidR="00122AD4" w:rsidRDefault="002531F9">
      <w:pPr>
        <w:pStyle w:val="IEEEAuthorAffiliation"/>
        <w:spacing w:after="0"/>
        <w:rPr>
          <w:sz w:val="22"/>
          <w:szCs w:val="22"/>
        </w:rPr>
      </w:pPr>
      <w:r>
        <w:rPr>
          <w:sz w:val="22"/>
          <w:szCs w:val="22"/>
          <w:vertAlign w:val="superscript"/>
        </w:rPr>
        <w:t>4</w:t>
      </w:r>
      <w:r>
        <w:rPr>
          <w:sz w:val="22"/>
          <w:szCs w:val="22"/>
        </w:rPr>
        <w:t xml:space="preserve">Department of CS &amp; IT JAIN(Deemed-To-Be-University) Bangalore, India </w:t>
      </w:r>
    </w:p>
    <w:p w14:paraId="0049E8AA" w14:textId="77777777" w:rsidR="00122AD4" w:rsidRDefault="002531F9">
      <w:pPr>
        <w:pStyle w:val="IEEEAuthorAffiliation"/>
        <w:spacing w:after="0"/>
        <w:rPr>
          <w:sz w:val="22"/>
          <w:szCs w:val="22"/>
        </w:rPr>
      </w:pPr>
      <w:r>
        <w:rPr>
          <w:sz w:val="22"/>
          <w:szCs w:val="22"/>
          <w:vertAlign w:val="superscript"/>
        </w:rPr>
        <w:t>5</w:t>
      </w:r>
      <w:r>
        <w:rPr>
          <w:sz w:val="22"/>
          <w:szCs w:val="22"/>
        </w:rPr>
        <w:t xml:space="preserve">Department of Commerce JAIN(Deemed-To-Be-University) Bangalore, India </w:t>
      </w:r>
      <w:hyperlink r:id="rId11" w:history="1">
        <w:r>
          <w:rPr>
            <w:rStyle w:val="Hyperlink"/>
            <w:sz w:val="22"/>
            <w:szCs w:val="22"/>
          </w:rPr>
          <w:t xml:space="preserve"> bhavana.sreekumar31@gmail.com</w:t>
        </w:r>
      </w:hyperlink>
    </w:p>
    <w:p w14:paraId="2E6F6341" w14:textId="77777777" w:rsidR="00122AD4" w:rsidRDefault="002531F9">
      <w:pPr>
        <w:pStyle w:val="IEEEAuthorAffiliation"/>
        <w:spacing w:after="0"/>
        <w:rPr>
          <w:sz w:val="22"/>
          <w:szCs w:val="22"/>
        </w:rPr>
      </w:pPr>
      <w:r>
        <w:rPr>
          <w:sz w:val="22"/>
          <w:szCs w:val="22"/>
          <w:vertAlign w:val="superscript"/>
        </w:rPr>
        <w:t>6</w:t>
      </w:r>
      <w:r>
        <w:rPr>
          <w:sz w:val="22"/>
          <w:szCs w:val="22"/>
        </w:rPr>
        <w:t xml:space="preserve">Department of Commerce JAIN(Deemed-To-Be-University) Bangalore, India </w:t>
      </w:r>
      <w:hyperlink r:id="rId12" w:history="1">
        <w:r>
          <w:rPr>
            <w:rStyle w:val="Hyperlink"/>
            <w:sz w:val="22"/>
            <w:szCs w:val="22"/>
          </w:rPr>
          <w:t xml:space="preserve"> gsanjanavarma@gmail.com</w:t>
        </w:r>
      </w:hyperlink>
    </w:p>
    <w:p w14:paraId="023F6F83" w14:textId="77777777" w:rsidR="00122AD4" w:rsidRDefault="002531F9">
      <w:pPr>
        <w:pStyle w:val="IEEEAuthorAffiliation"/>
        <w:spacing w:after="0"/>
        <w:rPr>
          <w:sz w:val="22"/>
          <w:szCs w:val="22"/>
        </w:rPr>
      </w:pPr>
      <w:r>
        <w:rPr>
          <w:sz w:val="22"/>
          <w:szCs w:val="22"/>
          <w:vertAlign w:val="superscript"/>
        </w:rPr>
        <w:t>7</w:t>
      </w:r>
      <w:r>
        <w:rPr>
          <w:sz w:val="22"/>
          <w:szCs w:val="22"/>
        </w:rPr>
        <w:t xml:space="preserve"> Assistant Professor Department of CS &amp; IT JAIN(Demmed-To-Be-University) Bangalore, India </w:t>
      </w:r>
      <w:hyperlink r:id="rId13" w:history="1">
        <w:r>
          <w:rPr>
            <w:rStyle w:val="Hyperlink"/>
            <w:sz w:val="22"/>
            <w:szCs w:val="22"/>
          </w:rPr>
          <w:t>gobi.n@jainuniversity.ac.in</w:t>
        </w:r>
      </w:hyperlink>
    </w:p>
    <w:p w14:paraId="56A5AD9C" w14:textId="77777777" w:rsidR="00122AD4" w:rsidRDefault="00122AD4">
      <w:pPr>
        <w:pStyle w:val="IEEEAuthorAffiliation"/>
        <w:spacing w:after="0"/>
        <w:rPr>
          <w:sz w:val="22"/>
          <w:szCs w:val="22"/>
        </w:rPr>
      </w:pPr>
    </w:p>
    <w:p w14:paraId="2D021C48" w14:textId="77777777" w:rsidR="00122AD4" w:rsidRDefault="00122AD4">
      <w:pPr>
        <w:spacing w:after="0" w:line="240" w:lineRule="auto"/>
        <w:jc w:val="center"/>
        <w:rPr>
          <w:rFonts w:ascii="Times New Roman" w:hAnsi="Times New Roman"/>
          <w:i/>
        </w:rPr>
      </w:pPr>
    </w:p>
    <w:p w14:paraId="4503C222" w14:textId="77777777" w:rsidR="00122AD4" w:rsidRDefault="002531F9">
      <w:pPr>
        <w:pStyle w:val="NoSpacing"/>
        <w:jc w:val="center"/>
        <w:rPr>
          <w:rFonts w:ascii="Times New Roman" w:hAnsi="Times New Roman"/>
        </w:rPr>
        <w:sectPr w:rsidR="00122AD4">
          <w:headerReference w:type="default" r:id="rId14"/>
          <w:footerReference w:type="default" r:id="rId15"/>
          <w:pgSz w:w="11907" w:h="16840"/>
          <w:pgMar w:top="720" w:right="720" w:bottom="720" w:left="720" w:header="144" w:footer="288" w:gutter="0"/>
          <w:cols w:space="720"/>
          <w:docGrid w:linePitch="360"/>
        </w:sectPr>
      </w:pPr>
      <w:r>
        <w:rPr>
          <w:rFonts w:ascii="Times New Roman" w:hAnsi="Times New Roman"/>
        </w:rPr>
        <w:t>---------------------------------------------------------------------***---------------------------------------------------------------------</w:t>
      </w:r>
    </w:p>
    <w:p w14:paraId="3C3B733C" w14:textId="77777777" w:rsidR="00122AD4" w:rsidRDefault="00122AD4">
      <w:pPr>
        <w:pStyle w:val="NoSpacing"/>
        <w:jc w:val="both"/>
        <w:rPr>
          <w:rFonts w:ascii="Times New Roman" w:hAnsi="Times New Roman"/>
          <w:sz w:val="20"/>
          <w:szCs w:val="20"/>
        </w:rPr>
      </w:pPr>
    </w:p>
    <w:tbl>
      <w:tblPr>
        <w:tblW w:w="0" w:type="auto"/>
        <w:tblLayout w:type="fixed"/>
        <w:tblLook w:val="04A0" w:firstRow="1" w:lastRow="0" w:firstColumn="1" w:lastColumn="0" w:noHBand="0" w:noVBand="1"/>
      </w:tblPr>
      <w:tblGrid>
        <w:gridCol w:w="4503"/>
        <w:gridCol w:w="283"/>
      </w:tblGrid>
      <w:tr w:rsidR="00122AD4" w14:paraId="1D642164" w14:textId="77777777">
        <w:trPr>
          <w:trHeight w:val="1374"/>
        </w:trPr>
        <w:tc>
          <w:tcPr>
            <w:tcW w:w="4503" w:type="dxa"/>
            <w:tcBorders>
              <w:top w:val="nil"/>
              <w:left w:val="nil"/>
              <w:bottom w:val="nil"/>
              <w:right w:val="nil"/>
            </w:tcBorders>
            <w:vAlign w:val="center"/>
          </w:tcPr>
          <w:p w14:paraId="4FC09951" w14:textId="77777777" w:rsidR="00122AD4" w:rsidRDefault="002531F9">
            <w:pPr>
              <w:spacing w:line="240" w:lineRule="auto"/>
              <w:jc w:val="both"/>
              <w:rPr>
                <w:rFonts w:ascii="Times New Roman" w:hAnsi="Times New Roman"/>
                <w:b/>
                <w:sz w:val="28"/>
              </w:rPr>
            </w:pPr>
            <w:r>
              <w:rPr>
                <w:rFonts w:ascii="Times New Roman" w:hAnsi="Times New Roman"/>
                <w:b/>
                <w:sz w:val="24"/>
              </w:rPr>
              <w:t xml:space="preserve">Abstract </w:t>
            </w:r>
            <w:r>
              <w:rPr>
                <w:rFonts w:ascii="Times New Roman" w:hAnsi="Times New Roman"/>
              </w:rPr>
              <w:t>—</w:t>
            </w:r>
            <w:r>
              <w:rPr>
                <w:rFonts w:ascii="Times New Roman" w:hAnsi="Times New Roman"/>
                <w:b/>
                <w:sz w:val="18"/>
              </w:rPr>
              <w:t xml:space="preserve"> </w:t>
            </w:r>
            <w:r>
              <w:rPr>
                <w:rFonts w:ascii="Times New Roman" w:hAnsi="Times New Roman"/>
                <w:color w:val="000000"/>
                <w:sz w:val="20"/>
                <w:szCs w:val="20"/>
              </w:rPr>
              <w:t>The project under study explores the prevention of cyber fraud in the banking sector. With the rise of digital banking and increasing cyber threats, it is crucial to identify effective measures to combat cyber fraud and protect the integrity of the banking system. The key strategies for prevention, include education and awareness, technology solutions, fraud detection, and monitoring, as well as collaboration and regulatory measures. Educating customers and bank employees about cyber fraud risks, implemen</w:t>
            </w:r>
            <w:r>
              <w:rPr>
                <w:rFonts w:ascii="Times New Roman" w:hAnsi="Times New Roman"/>
                <w:color w:val="000000"/>
                <w:sz w:val="20"/>
                <w:szCs w:val="20"/>
              </w:rPr>
              <w:t>ting multi-factor authentication systems, utilizing encryption techniques, and employing anomaly detection algorithms are some of the preventive measures discussed. The project emphasizes the importance of collaboration between banks, law enforcement agencies, and cybersecurity organizations to enhance information sharing and response to cyber threats. Strengthening regulatory frameworks and imposing strict penalties are also identified as crucial steps in promoting cybersecurity practices and deterring cyb</w:t>
            </w:r>
            <w:r>
              <w:rPr>
                <w:rFonts w:ascii="Times New Roman" w:hAnsi="Times New Roman"/>
                <w:color w:val="000000"/>
                <w:sz w:val="20"/>
                <w:szCs w:val="20"/>
              </w:rPr>
              <w:t>er criminals. By understanding and implementing these preventive measures, the banking sector can mitigate the risks associated with cyber fraud and safeguard customer assets and data</w:t>
            </w:r>
            <w:r>
              <w:rPr>
                <w:rFonts w:ascii="Times New Roman" w:eastAsia="Quattrocento Sans" w:hAnsi="Times New Roman"/>
                <w:color w:val="000000"/>
                <w:sz w:val="20"/>
                <w:szCs w:val="20"/>
              </w:rPr>
              <w:t>.</w:t>
            </w:r>
          </w:p>
          <w:p w14:paraId="2AC68E12" w14:textId="77777777" w:rsidR="00122AD4" w:rsidRDefault="002531F9">
            <w:pPr>
              <w:pStyle w:val="NoSpacing"/>
              <w:jc w:val="both"/>
              <w:rPr>
                <w:rFonts w:ascii="Times New Roman" w:hAnsi="Times New Roman"/>
                <w:bCs/>
                <w:iCs/>
                <w:sz w:val="20"/>
                <w:szCs w:val="24"/>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ascii="Times New Roman" w:hAnsi="Times New Roman"/>
                <w:bCs/>
                <w:iCs/>
                <w:sz w:val="20"/>
                <w:szCs w:val="24"/>
              </w:rPr>
              <w:t xml:space="preserve">— Banking, </w:t>
            </w:r>
            <w:r>
              <w:rPr>
                <w:rFonts w:ascii="Times New Roman" w:hAnsi="Times New Roman"/>
                <w:bCs/>
                <w:iCs/>
                <w:sz w:val="20"/>
                <w:szCs w:val="24"/>
                <w:lang w:val="en-IN"/>
              </w:rPr>
              <w:t>Cyber security</w:t>
            </w:r>
            <w:r>
              <w:rPr>
                <w:rFonts w:ascii="Times New Roman" w:hAnsi="Times New Roman"/>
                <w:bCs/>
                <w:iCs/>
                <w:sz w:val="20"/>
                <w:szCs w:val="24"/>
              </w:rPr>
              <w:t xml:space="preserve">, Cyber Fraud </w:t>
            </w:r>
            <w:r>
              <w:rPr>
                <w:rFonts w:ascii="Times New Roman" w:eastAsia="Times New Roman" w:hAnsi="Times New Roman"/>
                <w:color w:val="000000"/>
                <w:sz w:val="24"/>
                <w:szCs w:val="24"/>
              </w:rPr>
              <w:t>detection</w:t>
            </w:r>
            <w:r>
              <w:rPr>
                <w:rFonts w:ascii="Times New Roman" w:hAnsi="Times New Roman"/>
                <w:bCs/>
                <w:iCs/>
                <w:sz w:val="20"/>
                <w:szCs w:val="24"/>
              </w:rPr>
              <w:t>, Finance, Institution, Clients, Customer, Prevention, Research, Collaboration, Interdisciplinary, Strategies, Measures,</w:t>
            </w:r>
          </w:p>
          <w:p w14:paraId="1E45139F" w14:textId="77777777" w:rsidR="00122AD4" w:rsidRDefault="00122AD4">
            <w:pPr>
              <w:pStyle w:val="NoSpacing"/>
              <w:jc w:val="both"/>
              <w:rPr>
                <w:rFonts w:ascii="Times New Roman" w:hAnsi="Times New Roman"/>
                <w:b/>
                <w:i/>
              </w:rPr>
            </w:pPr>
          </w:p>
          <w:p w14:paraId="5B0E6E63" w14:textId="77777777" w:rsidR="00122AD4" w:rsidRDefault="002531F9">
            <w:pPr>
              <w:pStyle w:val="NoSpacing"/>
              <w:jc w:val="both"/>
              <w:rPr>
                <w:rFonts w:ascii="Times New Roman" w:eastAsia="MS Mincho" w:hAnsi="Times New Roman"/>
                <w:b/>
                <w:i/>
                <w:sz w:val="24"/>
                <w:szCs w:val="24"/>
              </w:rPr>
            </w:pPr>
            <w:r>
              <w:rPr>
                <w:rFonts w:ascii="Times New Roman" w:hAnsi="Times New Roman"/>
                <w:b/>
                <w:sz w:val="24"/>
                <w:szCs w:val="24"/>
              </w:rPr>
              <w:t>INTRODUCTION</w:t>
            </w:r>
            <w:r>
              <w:rPr>
                <w:rFonts w:ascii="Times New Roman" w:eastAsia="MS Mincho" w:hAnsi="Times New Roman"/>
                <w:b/>
                <w:i/>
                <w:sz w:val="24"/>
                <w:szCs w:val="24"/>
              </w:rPr>
              <w:t xml:space="preserve"> </w:t>
            </w:r>
          </w:p>
          <w:p w14:paraId="53ADAB93" w14:textId="77777777" w:rsidR="00122AD4" w:rsidRDefault="00122AD4">
            <w:pPr>
              <w:pStyle w:val="NoSpacing"/>
              <w:jc w:val="both"/>
              <w:rPr>
                <w:rFonts w:ascii="Times New Roman" w:eastAsia="MS Mincho" w:hAnsi="Times New Roman"/>
                <w:b/>
                <w:i/>
                <w:sz w:val="24"/>
                <w:szCs w:val="24"/>
              </w:rPr>
            </w:pPr>
          </w:p>
          <w:p w14:paraId="489BF78D" w14:textId="77777777" w:rsidR="00122AD4" w:rsidRDefault="002531F9">
            <w:pPr>
              <w:spacing w:line="240" w:lineRule="auto"/>
              <w:jc w:val="both"/>
              <w:rPr>
                <w:rFonts w:ascii="Times New Roman" w:hAnsi="Times New Roman"/>
                <w:sz w:val="20"/>
                <w:szCs w:val="20"/>
              </w:rPr>
            </w:pPr>
            <w:r>
              <w:rPr>
                <w:rFonts w:ascii="Times New Roman" w:hAnsi="Times New Roman"/>
                <w:sz w:val="20"/>
                <w:szCs w:val="20"/>
              </w:rPr>
              <w:t xml:space="preserve">Cyber fraud prevention in the banking sector is of utmost importance in safeguarding both financial institutions and their customers against malicious activities online. With the increasing reliance on digital technologies for </w:t>
            </w:r>
            <w:r>
              <w:rPr>
                <w:rFonts w:ascii="Times New Roman" w:hAnsi="Times New Roman"/>
                <w:sz w:val="20"/>
                <w:szCs w:val="20"/>
              </w:rPr>
              <w:t>banking services, institutions must implement robust measures to mitigate the risks posed by cyber threats. These preventive measures encompass various strategies and technologies aimed at securing banking systems, customer data, and transactions.</w:t>
            </w:r>
          </w:p>
          <w:p w14:paraId="2274AB33" w14:textId="77777777" w:rsidR="00122AD4" w:rsidRDefault="002531F9">
            <w:pPr>
              <w:spacing w:line="240" w:lineRule="auto"/>
              <w:jc w:val="both"/>
              <w:rPr>
                <w:rFonts w:ascii="Times New Roman" w:hAnsi="Times New Roman"/>
                <w:sz w:val="20"/>
                <w:szCs w:val="20"/>
              </w:rPr>
            </w:pPr>
            <w:r>
              <w:rPr>
                <w:rFonts w:ascii="Times New Roman" w:hAnsi="Times New Roman"/>
                <w:b/>
                <w:bCs/>
                <w:sz w:val="20"/>
                <w:szCs w:val="20"/>
              </w:rPr>
              <w:t xml:space="preserve">1. Enhanced Security Measures: </w:t>
            </w:r>
            <w:r>
              <w:rPr>
                <w:rFonts w:ascii="Times New Roman" w:hAnsi="Times New Roman"/>
                <w:sz w:val="20"/>
                <w:szCs w:val="20"/>
              </w:rPr>
              <w:t xml:space="preserve">Banks employ advanced security protocols such as multi-factor authentication, encryption techniques, and </w:t>
            </w:r>
            <w:r>
              <w:rPr>
                <w:rFonts w:ascii="Times New Roman" w:hAnsi="Times New Roman"/>
                <w:sz w:val="20"/>
                <w:szCs w:val="20"/>
                <w:lang w:val="en-IN"/>
              </w:rPr>
              <w:t>bio metric</w:t>
            </w:r>
            <w:r>
              <w:rPr>
                <w:rFonts w:ascii="Times New Roman" w:hAnsi="Times New Roman"/>
                <w:sz w:val="20"/>
                <w:szCs w:val="20"/>
              </w:rPr>
              <w:t xml:space="preserve"> </w:t>
            </w:r>
            <w:r>
              <w:rPr>
                <w:rFonts w:ascii="Times New Roman" w:hAnsi="Times New Roman"/>
                <w:sz w:val="20"/>
                <w:szCs w:val="20"/>
              </w:rPr>
              <w:t>identification to strengthen the security of online banking platforms and prevent unauthorized access.</w:t>
            </w:r>
          </w:p>
          <w:p w14:paraId="70D8883C" w14:textId="77777777" w:rsidR="00122AD4" w:rsidRDefault="002531F9">
            <w:pPr>
              <w:spacing w:line="240" w:lineRule="auto"/>
              <w:jc w:val="both"/>
              <w:rPr>
                <w:rFonts w:ascii="Times New Roman" w:hAnsi="Times New Roman"/>
                <w:sz w:val="20"/>
                <w:szCs w:val="20"/>
              </w:rPr>
            </w:pPr>
            <w:r>
              <w:rPr>
                <w:rFonts w:ascii="Times New Roman" w:hAnsi="Times New Roman"/>
                <w:b/>
                <w:bCs/>
                <w:sz w:val="20"/>
                <w:szCs w:val="20"/>
              </w:rPr>
              <w:t xml:space="preserve">2. Continuous Monitoring: </w:t>
            </w:r>
            <w:r>
              <w:rPr>
                <w:rFonts w:ascii="Times New Roman" w:hAnsi="Times New Roman"/>
                <w:sz w:val="20"/>
                <w:szCs w:val="20"/>
              </w:rPr>
              <w:t>Continuous monitoring of banking systems and networks is crucial for promptly detecting any suspicious activities or anomalies. Real-time monitoring tools and intrusion detection systems help identify and respond to potential cyber threats effectively.</w:t>
            </w:r>
          </w:p>
          <w:p w14:paraId="3DEF554A" w14:textId="77777777" w:rsidR="00122AD4" w:rsidRDefault="002531F9">
            <w:pPr>
              <w:spacing w:line="240" w:lineRule="auto"/>
              <w:jc w:val="both"/>
              <w:rPr>
                <w:rFonts w:ascii="Times New Roman" w:hAnsi="Times New Roman"/>
                <w:sz w:val="20"/>
                <w:szCs w:val="20"/>
              </w:rPr>
            </w:pPr>
            <w:r>
              <w:rPr>
                <w:rFonts w:ascii="Times New Roman" w:hAnsi="Times New Roman"/>
                <w:b/>
                <w:bCs/>
                <w:sz w:val="20"/>
                <w:szCs w:val="20"/>
              </w:rPr>
              <w:t>3. Regular Security Audits:</w:t>
            </w:r>
            <w:r>
              <w:rPr>
                <w:rFonts w:ascii="Times New Roman" w:hAnsi="Times New Roman"/>
                <w:sz w:val="20"/>
                <w:szCs w:val="20"/>
              </w:rPr>
              <w:t xml:space="preserve"> Conducting regular security audits and assessments helps identify vulnerabilities in banking systems and infrastructure. By proactively addressing these weaknesses, banks can fortify their defenses against cyber attacks and fraud schemes.</w:t>
            </w:r>
          </w:p>
          <w:p w14:paraId="21A7DC84" w14:textId="77777777" w:rsidR="00122AD4" w:rsidRDefault="002531F9">
            <w:pPr>
              <w:spacing w:line="240" w:lineRule="auto"/>
              <w:jc w:val="both"/>
              <w:rPr>
                <w:rFonts w:ascii="Times New Roman" w:hAnsi="Times New Roman"/>
                <w:sz w:val="20"/>
                <w:szCs w:val="20"/>
              </w:rPr>
            </w:pPr>
            <w:r>
              <w:rPr>
                <w:rFonts w:ascii="Times New Roman" w:hAnsi="Times New Roman"/>
                <w:b/>
                <w:bCs/>
                <w:sz w:val="20"/>
                <w:szCs w:val="20"/>
              </w:rPr>
              <w:t>4. Employee Training and Awareness</w:t>
            </w:r>
            <w:r>
              <w:rPr>
                <w:rFonts w:ascii="Times New Roman" w:hAnsi="Times New Roman"/>
                <w:sz w:val="20"/>
                <w:szCs w:val="20"/>
              </w:rPr>
              <w:t>: Training bank employees on cybersecurity best practices and raising awareness about common cyber threats and fraud schemes enable them to recognize and mitigate risks effectively. Employees play a vital role in maintaining the security of banking operations and protecting customer data from unauthorized access.</w:t>
            </w:r>
          </w:p>
          <w:p w14:paraId="3FC36542" w14:textId="77777777" w:rsidR="00122AD4" w:rsidRDefault="002531F9">
            <w:pPr>
              <w:spacing w:line="240" w:lineRule="auto"/>
              <w:jc w:val="both"/>
              <w:rPr>
                <w:rFonts w:ascii="Times New Roman" w:hAnsi="Times New Roman"/>
                <w:sz w:val="20"/>
                <w:szCs w:val="20"/>
              </w:rPr>
            </w:pPr>
            <w:r>
              <w:rPr>
                <w:rFonts w:ascii="Times New Roman" w:hAnsi="Times New Roman"/>
                <w:b/>
                <w:bCs/>
                <w:sz w:val="20"/>
                <w:szCs w:val="20"/>
              </w:rPr>
              <w:t>5. Collaboration and Information Sharing:</w:t>
            </w:r>
            <w:r>
              <w:rPr>
                <w:rFonts w:ascii="Times New Roman" w:hAnsi="Times New Roman"/>
                <w:sz w:val="20"/>
                <w:szCs w:val="20"/>
              </w:rPr>
              <w:t xml:space="preserve"> Collaboration among banks, government agencies, law enforcement, and cybersecurity organizations facilitates the sharing of threat intelligence and best practices for combating cyber fraud. Information sharing platforms enable stakeholders to stay informed about emerging threats and take proactive measures to prevent cyber attacks.</w:t>
            </w:r>
          </w:p>
          <w:p w14:paraId="46105C62" w14:textId="77777777" w:rsidR="00122AD4" w:rsidRDefault="002531F9">
            <w:pPr>
              <w:spacing w:line="240" w:lineRule="auto"/>
              <w:jc w:val="both"/>
              <w:rPr>
                <w:rFonts w:ascii="Times New Roman" w:hAnsi="Times New Roman"/>
                <w:sz w:val="20"/>
                <w:szCs w:val="20"/>
              </w:rPr>
            </w:pPr>
            <w:r>
              <w:rPr>
                <w:rFonts w:ascii="Times New Roman" w:hAnsi="Times New Roman"/>
                <w:b/>
                <w:bCs/>
                <w:sz w:val="20"/>
                <w:szCs w:val="20"/>
              </w:rPr>
              <w:t>6. Customer Education:</w:t>
            </w:r>
            <w:r>
              <w:rPr>
                <w:rFonts w:ascii="Times New Roman" w:hAnsi="Times New Roman"/>
                <w:sz w:val="20"/>
                <w:szCs w:val="20"/>
              </w:rPr>
              <w:t xml:space="preserve"> Educating customers about cybersecurity risks and providing guidance on safe banking practices, such as avoiding phishing emails, using secure passwords, and regularly monitoring account activity, helps mitigate the risk of falling victim to cyber frauds.</w:t>
            </w:r>
          </w:p>
          <w:p w14:paraId="7CB4F969" w14:textId="77777777" w:rsidR="00122AD4" w:rsidRDefault="002531F9">
            <w:pPr>
              <w:spacing w:line="240" w:lineRule="auto"/>
              <w:jc w:val="both"/>
              <w:rPr>
                <w:rFonts w:ascii="Times New Roman" w:hAnsi="Times New Roman"/>
                <w:sz w:val="20"/>
                <w:szCs w:val="20"/>
              </w:rPr>
            </w:pPr>
            <w:r>
              <w:rPr>
                <w:rFonts w:ascii="Times New Roman" w:hAnsi="Times New Roman"/>
                <w:sz w:val="20"/>
                <w:szCs w:val="20"/>
              </w:rPr>
              <w:t>By implementing these preventive measures and fostering a culture of cybersecurity awareness, the banking sector can significantly reduce the likelihood of cyber fraud incidents and protect the integrity of financial systems and customer trust.</w:t>
            </w:r>
          </w:p>
          <w:p w14:paraId="45D11ADE" w14:textId="77777777" w:rsidR="00122AD4" w:rsidRDefault="00122AD4">
            <w:pPr>
              <w:spacing w:line="240" w:lineRule="auto"/>
              <w:jc w:val="both"/>
              <w:rPr>
                <w:rFonts w:ascii="Times New Roman" w:hAnsi="Times New Roman"/>
                <w:sz w:val="20"/>
                <w:szCs w:val="20"/>
              </w:rPr>
            </w:pPr>
          </w:p>
          <w:p w14:paraId="02009BE1" w14:textId="77777777" w:rsidR="00122AD4" w:rsidRDefault="002531F9">
            <w:pPr>
              <w:spacing w:line="240" w:lineRule="auto"/>
              <w:jc w:val="both"/>
              <w:rPr>
                <w:rFonts w:ascii="Times New Roman" w:hAnsi="Times New Roman"/>
                <w:sz w:val="16"/>
                <w:szCs w:val="16"/>
              </w:rPr>
            </w:pPr>
            <w:r>
              <w:rPr>
                <w:rFonts w:ascii="Times New Roman" w:hAnsi="Times New Roman"/>
                <w:b/>
                <w:sz w:val="20"/>
                <w:szCs w:val="20"/>
              </w:rPr>
              <w:lastRenderedPageBreak/>
              <w:t xml:space="preserve">CYBER </w:t>
            </w:r>
            <w:r>
              <w:rPr>
                <w:rFonts w:ascii="Times New Roman" w:hAnsi="Times New Roman"/>
                <w:b/>
                <w:sz w:val="20"/>
                <w:szCs w:val="20"/>
              </w:rPr>
              <w:t>FRAUDS</w:t>
            </w:r>
          </w:p>
          <w:p w14:paraId="6C68C96C" w14:textId="77777777" w:rsidR="00122AD4" w:rsidRDefault="002531F9">
            <w:pPr>
              <w:pStyle w:val="NoSpacing"/>
              <w:jc w:val="both"/>
              <w:rPr>
                <w:rFonts w:ascii="Times New Roman" w:hAnsi="Times New Roman"/>
                <w:sz w:val="20"/>
                <w:szCs w:val="20"/>
              </w:rPr>
            </w:pPr>
            <w:r>
              <w:rPr>
                <w:rFonts w:ascii="Times New Roman" w:hAnsi="Times New Roman"/>
                <w:sz w:val="20"/>
                <w:szCs w:val="20"/>
              </w:rPr>
              <w:t>Cyber fraud refers to criminal activities leveraging technology like computers, smartphones, and the internet to steal money or information from individuals or businesses. These schemes exploit technological system vulnerabilities, social engineering, or impersonation to trick victims into divulging sensitive data or account access. Given the digital era's prevalence, cyber fraud poses a growing threat, demanding individuals and businesses to adopt protective measures like using strong passwords, maintainin</w:t>
            </w:r>
            <w:r>
              <w:rPr>
                <w:rFonts w:ascii="Times New Roman" w:hAnsi="Times New Roman"/>
                <w:sz w:val="20"/>
                <w:szCs w:val="20"/>
              </w:rPr>
              <w:t>g software updates, and exercising caution with suspicious communications.</w:t>
            </w:r>
          </w:p>
          <w:p w14:paraId="0B042768" w14:textId="77777777" w:rsidR="00122AD4" w:rsidRDefault="00122AD4">
            <w:pPr>
              <w:pStyle w:val="NoSpacing"/>
              <w:jc w:val="both"/>
              <w:rPr>
                <w:rFonts w:ascii="Times New Roman" w:hAnsi="Times New Roman"/>
                <w:sz w:val="20"/>
                <w:szCs w:val="20"/>
              </w:rPr>
            </w:pPr>
          </w:p>
          <w:p w14:paraId="39686BDE" w14:textId="77777777" w:rsidR="00122AD4" w:rsidRDefault="002531F9">
            <w:pPr>
              <w:pStyle w:val="NoSpacing"/>
              <w:jc w:val="both"/>
              <w:rPr>
                <w:rFonts w:ascii="Times New Roman" w:hAnsi="Times New Roman"/>
                <w:sz w:val="20"/>
                <w:szCs w:val="20"/>
              </w:rPr>
            </w:pPr>
            <w:r>
              <w:rPr>
                <w:rFonts w:ascii="Times New Roman" w:hAnsi="Times New Roman"/>
                <w:sz w:val="20"/>
                <w:szCs w:val="20"/>
              </w:rPr>
              <w:t>The banking sector faces heightened susceptibility to cyber fraud due to its management of significant funds and sensitive data. Several prevalent cyber fraud types in banking include phishing scams, malware attacks, ATM skimming, business email compromise (BEC), and insider threats. Phishing entails deceiving bank customers through fake emails or messages, prompting them to disclose personal information or click malicious links. Malware infects bank systems or customer devices, enabling unauthorized data a</w:t>
            </w:r>
            <w:r>
              <w:rPr>
                <w:rFonts w:ascii="Times New Roman" w:hAnsi="Times New Roman"/>
                <w:sz w:val="20"/>
                <w:szCs w:val="20"/>
              </w:rPr>
              <w:t>ccess or fraudulent transactions. ATM skimming involves attaching devices to ATMs to steal card information and PINs for illicit withdrawals. BEC scams manipulate bank employees or customers to facilitate fraudulent transactions or divulge sensitive details. Insider threats stem from bank employees or contractors misusing their access to commit fraud.</w:t>
            </w:r>
          </w:p>
          <w:p w14:paraId="75FEE821" w14:textId="77777777" w:rsidR="00122AD4" w:rsidRDefault="00122AD4">
            <w:pPr>
              <w:pStyle w:val="NoSpacing"/>
              <w:jc w:val="both"/>
              <w:rPr>
                <w:rFonts w:ascii="Times New Roman" w:hAnsi="Times New Roman"/>
                <w:sz w:val="20"/>
                <w:szCs w:val="20"/>
              </w:rPr>
            </w:pPr>
          </w:p>
          <w:p w14:paraId="4F1C3AF0"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To mitigate cyber fraud risks, banks and customers must implement robust security measures like multi-factor authentication, encryption, and comprehensive security training for employees and clients. Vigilant </w:t>
            </w:r>
            <w:r>
              <w:rPr>
                <w:rFonts w:ascii="Times New Roman" w:hAnsi="Times New Roman"/>
                <w:sz w:val="20"/>
                <w:szCs w:val="20"/>
                <w:lang w:val="en-IN"/>
              </w:rPr>
              <w:t>systems</w:t>
            </w:r>
            <w:r>
              <w:rPr>
                <w:rFonts w:ascii="Times New Roman" w:hAnsi="Times New Roman"/>
                <w:sz w:val="20"/>
                <w:szCs w:val="20"/>
              </w:rPr>
              <w:t xml:space="preserve"> and transaction monitoring are also critical for promptly identifying and responding to potential fraud attempts.</w:t>
            </w:r>
          </w:p>
          <w:p w14:paraId="090DFA42" w14:textId="77777777" w:rsidR="00122AD4" w:rsidRDefault="00122AD4">
            <w:pPr>
              <w:pStyle w:val="NoSpacing"/>
              <w:jc w:val="both"/>
              <w:rPr>
                <w:rFonts w:ascii="Times New Roman" w:hAnsi="Times New Roman"/>
                <w:sz w:val="20"/>
                <w:szCs w:val="20"/>
              </w:rPr>
            </w:pPr>
          </w:p>
          <w:p w14:paraId="78466D1F" w14:textId="77777777" w:rsidR="00122AD4" w:rsidRDefault="002531F9">
            <w:pPr>
              <w:pStyle w:val="NoSpacing"/>
              <w:jc w:val="both"/>
              <w:rPr>
                <w:rFonts w:ascii="Times New Roman" w:hAnsi="Times New Roman"/>
                <w:b/>
                <w:sz w:val="20"/>
                <w:szCs w:val="20"/>
              </w:rPr>
            </w:pPr>
            <w:r>
              <w:rPr>
                <w:rFonts w:ascii="Times New Roman" w:hAnsi="Times New Roman"/>
                <w:b/>
                <w:sz w:val="20"/>
                <w:szCs w:val="20"/>
              </w:rPr>
              <w:t>PREVENTION</w:t>
            </w:r>
            <w:r>
              <w:rPr>
                <w:rFonts w:ascii="Times New Roman" w:eastAsia="MS Mincho" w:hAnsi="Times New Roman"/>
                <w:b/>
                <w:i/>
                <w:sz w:val="20"/>
                <w:szCs w:val="20"/>
              </w:rPr>
              <w:t xml:space="preserve"> </w:t>
            </w:r>
          </w:p>
          <w:p w14:paraId="40D5327A" w14:textId="77777777" w:rsidR="00122AD4" w:rsidRDefault="00122AD4">
            <w:pPr>
              <w:pStyle w:val="NoSpacing"/>
              <w:jc w:val="both"/>
              <w:rPr>
                <w:rFonts w:ascii="Times New Roman" w:hAnsi="Times New Roman"/>
                <w:b/>
                <w:bCs/>
                <w:sz w:val="20"/>
                <w:szCs w:val="20"/>
              </w:rPr>
            </w:pPr>
          </w:p>
          <w:p w14:paraId="4DFE41AB" w14:textId="77777777" w:rsidR="00122AD4" w:rsidRDefault="002531F9">
            <w:pPr>
              <w:spacing w:line="240" w:lineRule="auto"/>
              <w:jc w:val="both"/>
              <w:rPr>
                <w:rFonts w:ascii="Times New Roman" w:hAnsi="Times New Roman"/>
                <w:sz w:val="20"/>
                <w:szCs w:val="20"/>
              </w:rPr>
            </w:pPr>
            <w:r>
              <w:rPr>
                <w:rFonts w:ascii="Times New Roman" w:hAnsi="Times New Roman"/>
                <w:sz w:val="20"/>
                <w:szCs w:val="20"/>
              </w:rPr>
              <w:t xml:space="preserve">The banking sector has implemented a variety of measures to protect itself from cyber fraud. Multi-factor authentication is now commonplace, requiring customers to provide additional verification (such as a one-time code sent to their </w:t>
            </w:r>
            <w:r>
              <w:rPr>
                <w:rFonts w:ascii="Times New Roman" w:hAnsi="Times New Roman"/>
                <w:sz w:val="20"/>
                <w:szCs w:val="20"/>
              </w:rPr>
              <w:t>mobile phone) along with their password to access their accounts. Encryption techniques are widely employed to safeguard sensitive data and communications, making it more difficult for hackers to intercept or steal information. Advanced technologies are utilized for fraud detection and monitoring, enabling banks to identify and respond to suspicious transactions or activities effectively. Security awareness training programs are provided to both employees and customers to enhance their understanding of comm</w:t>
            </w:r>
            <w:r>
              <w:rPr>
                <w:rFonts w:ascii="Times New Roman" w:hAnsi="Times New Roman"/>
                <w:sz w:val="20"/>
                <w:szCs w:val="20"/>
              </w:rPr>
              <w:t xml:space="preserve">on cyber threats like phishing scams and malware. Continuous monitoring and testing of systems and networks are conducted to identify and address potential vulnerabilities. Additionally, close collaboration with law enforcement agencies aids in the investigation and prosecution of cyber crimes, while also facilitating the sharing of information about emerging threats to prevent future attacks. Overall, a multi-layered approach involving technology, policies, and </w:t>
            </w:r>
            <w:r>
              <w:rPr>
                <w:rFonts w:ascii="Times New Roman" w:hAnsi="Times New Roman"/>
                <w:sz w:val="20"/>
                <w:szCs w:val="20"/>
              </w:rPr>
              <w:t xml:space="preserve">collaboration is essential for banks to stay </w:t>
            </w:r>
            <w:r>
              <w:rPr>
                <w:rFonts w:ascii="Times New Roman" w:hAnsi="Times New Roman"/>
                <w:sz w:val="20"/>
                <w:szCs w:val="20"/>
              </w:rPr>
              <w:t>ahead of evolving cyber threats and protect their customers and operations.</w:t>
            </w:r>
          </w:p>
          <w:p w14:paraId="2E2A24AC" w14:textId="77777777" w:rsidR="00122AD4" w:rsidRDefault="002531F9">
            <w:pPr>
              <w:spacing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2E30D79D" wp14:editId="22CC7EA6">
                  <wp:extent cx="2645410" cy="3043555"/>
                  <wp:effectExtent l="0" t="0" r="6350" b="4445"/>
                  <wp:docPr id="2790200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20019" name="Picture 7"/>
                          <pic:cNvPicPr>
                            <a:picLocks noChangeAspect="1"/>
                          </pic:cNvPicPr>
                        </pic:nvPicPr>
                        <pic:blipFill>
                          <a:blip r:embed="rId16">
                            <a:extLst>
                              <a:ext uri="{28A0092B-C50C-407E-A947-70E740481C1C}">
                                <a14:useLocalDpi xmlns:a14="http://schemas.microsoft.com/office/drawing/2010/main" val="0"/>
                              </a:ext>
                            </a:extLst>
                          </a:blip>
                          <a:srcRect t="5865" r="2822" b="10721"/>
                          <a:stretch>
                            <a:fillRect/>
                          </a:stretch>
                        </pic:blipFill>
                        <pic:spPr>
                          <a:xfrm>
                            <a:off x="0" y="0"/>
                            <a:ext cx="2645410" cy="3043555"/>
                          </a:xfrm>
                          <a:prstGeom prst="rect">
                            <a:avLst/>
                          </a:prstGeom>
                          <a:ln>
                            <a:noFill/>
                          </a:ln>
                        </pic:spPr>
                      </pic:pic>
                    </a:graphicData>
                  </a:graphic>
                </wp:inline>
              </w:drawing>
            </w:r>
          </w:p>
          <w:p w14:paraId="21CDB560" w14:textId="77777777" w:rsidR="00122AD4" w:rsidRDefault="002531F9">
            <w:pPr>
              <w:pStyle w:val="NoSpacing"/>
              <w:ind w:firstLineChars="500" w:firstLine="1004"/>
              <w:jc w:val="both"/>
              <w:rPr>
                <w:rFonts w:ascii="Times New Roman" w:hAnsi="Times New Roman"/>
                <w:sz w:val="20"/>
                <w:szCs w:val="20"/>
                <w:lang w:val="en-IN"/>
              </w:rPr>
            </w:pPr>
            <w:r>
              <w:rPr>
                <w:rFonts w:ascii="Times New Roman" w:hAnsi="Times New Roman"/>
                <w:b/>
                <w:sz w:val="20"/>
                <w:szCs w:val="20"/>
              </w:rPr>
              <w:t>Fig-1</w:t>
            </w:r>
            <w:r>
              <w:rPr>
                <w:rFonts w:ascii="Times New Roman" w:hAnsi="Times New Roman"/>
                <w:b/>
                <w:sz w:val="20"/>
                <w:szCs w:val="20"/>
                <w:lang w:val="en-IN"/>
              </w:rPr>
              <w:t xml:space="preserve"> Cyber security Practices</w:t>
            </w:r>
          </w:p>
          <w:p w14:paraId="6BB3E403" w14:textId="77777777" w:rsidR="00122AD4" w:rsidRDefault="00122AD4">
            <w:pPr>
              <w:pStyle w:val="NoSpacing"/>
              <w:jc w:val="both"/>
              <w:rPr>
                <w:rFonts w:ascii="Times New Roman" w:hAnsi="Times New Roman"/>
                <w:sz w:val="20"/>
                <w:szCs w:val="20"/>
              </w:rPr>
            </w:pPr>
          </w:p>
          <w:p w14:paraId="6F3F3382" w14:textId="77777777" w:rsidR="00122AD4" w:rsidRDefault="002531F9">
            <w:pPr>
              <w:pStyle w:val="NoSpacing"/>
              <w:jc w:val="both"/>
              <w:rPr>
                <w:rFonts w:ascii="Times New Roman" w:hAnsi="Times New Roman"/>
                <w:b/>
                <w:sz w:val="20"/>
                <w:szCs w:val="20"/>
              </w:rPr>
            </w:pPr>
            <w:r>
              <w:rPr>
                <w:rFonts w:ascii="Times New Roman" w:hAnsi="Times New Roman"/>
                <w:b/>
                <w:sz w:val="20"/>
                <w:szCs w:val="20"/>
              </w:rPr>
              <w:t>FLAWS</w:t>
            </w:r>
          </w:p>
          <w:p w14:paraId="66A7FC22" w14:textId="77777777" w:rsidR="00122AD4" w:rsidRDefault="00122AD4">
            <w:pPr>
              <w:pStyle w:val="NoSpacing"/>
              <w:jc w:val="both"/>
              <w:rPr>
                <w:rFonts w:ascii="Times New Roman" w:hAnsi="Times New Roman"/>
                <w:b/>
                <w:sz w:val="20"/>
                <w:szCs w:val="20"/>
              </w:rPr>
            </w:pPr>
          </w:p>
          <w:p w14:paraId="55809292"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Despite considerable efforts by the banking sector to strengthen </w:t>
            </w:r>
            <w:r>
              <w:rPr>
                <w:rFonts w:ascii="Times New Roman" w:hAnsi="Times New Roman"/>
                <w:sz w:val="20"/>
                <w:szCs w:val="20"/>
                <w:lang w:val="en-IN"/>
              </w:rPr>
              <w:t>cyber security</w:t>
            </w:r>
            <w:r>
              <w:rPr>
                <w:rFonts w:ascii="Times New Roman" w:hAnsi="Times New Roman"/>
                <w:sz w:val="20"/>
                <w:szCs w:val="20"/>
              </w:rPr>
              <w:t xml:space="preserve">, several vulnerabilities persist, hindering the prevention of all types of cyberattacks. Among these weaknesses are human error, wherein employees and customers inadvertently compromise security through actions like falling for phishing scams or using weak passwords. Additionally, many banks still rely on outdated computer systems and software, which may </w:t>
            </w:r>
            <w:r>
              <w:rPr>
                <w:rFonts w:ascii="Times New Roman" w:hAnsi="Times New Roman"/>
                <w:sz w:val="20"/>
                <w:szCs w:val="20"/>
                <w:lang w:val="en-IN"/>
              </w:rPr>
              <w:t>have</w:t>
            </w:r>
            <w:r>
              <w:rPr>
                <w:rFonts w:ascii="Times New Roman" w:hAnsi="Times New Roman"/>
                <w:sz w:val="20"/>
                <w:szCs w:val="20"/>
              </w:rPr>
              <w:t xml:space="preserve"> security flaws. Furthermore, reliance on third-party vendors introduces risks, as these vendors may not adhere to the same security sta</w:t>
            </w:r>
            <w:r>
              <w:rPr>
                <w:rFonts w:ascii="Times New Roman" w:hAnsi="Times New Roman"/>
                <w:sz w:val="20"/>
                <w:szCs w:val="20"/>
              </w:rPr>
              <w:t>ndards. Inconsistencies in cybersecurity measures and standards across banks make it challenging to establish a unified and effective security framework. Cost also presents a barrier, particularly for smaller banks with limited budgets, potentially leaving them vulnerable to attacks. Insider threats pose another significant risk, with employees or contractors having access to sensitive information. To address these shortcomings, the banking sector must maintain its focus on cybersecurity, investing in cutti</w:t>
            </w:r>
            <w:r>
              <w:rPr>
                <w:rFonts w:ascii="Times New Roman" w:hAnsi="Times New Roman"/>
                <w:sz w:val="20"/>
                <w:szCs w:val="20"/>
              </w:rPr>
              <w:t xml:space="preserve">ng-edge technologies and skilled personnel. </w:t>
            </w:r>
          </w:p>
          <w:p w14:paraId="4083CC4C" w14:textId="77777777" w:rsidR="00122AD4" w:rsidRDefault="00122AD4">
            <w:pPr>
              <w:pStyle w:val="NoSpacing"/>
              <w:jc w:val="both"/>
              <w:rPr>
                <w:rFonts w:ascii="Times New Roman" w:hAnsi="Times New Roman"/>
                <w:sz w:val="20"/>
                <w:szCs w:val="20"/>
              </w:rPr>
            </w:pPr>
          </w:p>
          <w:p w14:paraId="1B41509C"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Enhanced collaboration and communication between banks and government agencies are essential to </w:t>
            </w:r>
            <w:r>
              <w:rPr>
                <w:rFonts w:ascii="Times New Roman" w:hAnsi="Times New Roman"/>
                <w:sz w:val="20"/>
                <w:szCs w:val="20"/>
                <w:lang w:val="en-IN"/>
              </w:rPr>
              <w:t>facilitating</w:t>
            </w:r>
            <w:r>
              <w:rPr>
                <w:rFonts w:ascii="Times New Roman" w:hAnsi="Times New Roman"/>
                <w:sz w:val="20"/>
                <w:szCs w:val="20"/>
              </w:rPr>
              <w:t xml:space="preserve"> the sharing of information on emerging threats and </w:t>
            </w:r>
            <w:r>
              <w:rPr>
                <w:rFonts w:ascii="Times New Roman" w:hAnsi="Times New Roman"/>
                <w:sz w:val="20"/>
                <w:szCs w:val="20"/>
                <w:lang w:val="en-IN"/>
              </w:rPr>
              <w:t>promoting</w:t>
            </w:r>
            <w:r>
              <w:rPr>
                <w:rFonts w:ascii="Times New Roman" w:hAnsi="Times New Roman"/>
                <w:sz w:val="20"/>
                <w:szCs w:val="20"/>
              </w:rPr>
              <w:t xml:space="preserve"> standardized security practices. Moreover, increased emphasis on security awareness training for both employees and customers is necessary to reduce the risk of human error.</w:t>
            </w:r>
            <w:r>
              <w:rPr>
                <w:rFonts w:ascii="Times New Roman" w:hAnsi="Times New Roman"/>
                <w:sz w:val="20"/>
                <w:szCs w:val="20"/>
                <w:lang w:val="en-IN"/>
              </w:rPr>
              <w:t xml:space="preserve"> </w:t>
            </w:r>
            <w:r>
              <w:rPr>
                <w:rFonts w:ascii="Times New Roman" w:hAnsi="Times New Roman"/>
                <w:sz w:val="20"/>
                <w:szCs w:val="20"/>
              </w:rPr>
              <w:t>To address these weaknesses, the banking sector must continue to prioritize cybersecurity and invest in cutting-edge technologies and skilled personnel. Collaboration and communication between banks and government agencies should be enhanced to facilitate the shar</w:t>
            </w:r>
            <w:r>
              <w:rPr>
                <w:rFonts w:ascii="Times New Roman" w:hAnsi="Times New Roman"/>
                <w:sz w:val="20"/>
                <w:szCs w:val="20"/>
              </w:rPr>
              <w:t xml:space="preserve">ing of information on emerging threats and promote the development of standardized security </w:t>
            </w:r>
            <w:r>
              <w:rPr>
                <w:rFonts w:ascii="Times New Roman" w:hAnsi="Times New Roman"/>
                <w:sz w:val="20"/>
                <w:szCs w:val="20"/>
              </w:rPr>
              <w:lastRenderedPageBreak/>
              <w:t>practices. Moreover, there should be an increased focus on security awareness training for both employees and customers to mitigate the risk of human error.</w:t>
            </w:r>
          </w:p>
          <w:p w14:paraId="33BE31B6" w14:textId="77777777" w:rsidR="00122AD4" w:rsidRDefault="00122AD4">
            <w:pPr>
              <w:pStyle w:val="NoSpacing"/>
              <w:jc w:val="both"/>
              <w:rPr>
                <w:rFonts w:ascii="Times New Roman" w:hAnsi="Times New Roman"/>
                <w:sz w:val="20"/>
                <w:szCs w:val="20"/>
              </w:rPr>
            </w:pPr>
          </w:p>
          <w:p w14:paraId="2285E012" w14:textId="77777777" w:rsidR="00122AD4" w:rsidRDefault="002531F9">
            <w:pPr>
              <w:pStyle w:val="NoSpacing"/>
              <w:jc w:val="both"/>
              <w:rPr>
                <w:rFonts w:ascii="Times New Roman" w:hAnsi="Times New Roman"/>
                <w:b/>
                <w:sz w:val="24"/>
                <w:szCs w:val="24"/>
              </w:rPr>
            </w:pPr>
            <w:r>
              <w:rPr>
                <w:rFonts w:ascii="Times New Roman" w:hAnsi="Times New Roman"/>
                <w:b/>
                <w:sz w:val="24"/>
                <w:szCs w:val="24"/>
              </w:rPr>
              <w:t>LITERATURE STUDY</w:t>
            </w:r>
          </w:p>
          <w:p w14:paraId="04F1DAEC" w14:textId="77777777" w:rsidR="00122AD4" w:rsidRDefault="00122AD4">
            <w:pPr>
              <w:pStyle w:val="NoSpacing"/>
              <w:jc w:val="both"/>
              <w:rPr>
                <w:rFonts w:ascii="Times New Roman" w:hAnsi="Times New Roman"/>
                <w:lang w:val="zh-CN" w:eastAsia="zh-CN"/>
              </w:rPr>
            </w:pPr>
          </w:p>
          <w:p w14:paraId="4D68550B"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Research conducted between 2020 and 2021 has highlighted effective strategies for preventing cyber fraud in the banking sector. One notable study, "Enhancing </w:t>
            </w:r>
            <w:r>
              <w:rPr>
                <w:rFonts w:ascii="Times New Roman" w:hAnsi="Times New Roman"/>
                <w:sz w:val="20"/>
                <w:szCs w:val="20"/>
              </w:rPr>
              <w:t>Cybersecurity in Banking: A Focus on Employee Training" by Smith et al., underscores the importance of employee training and awareness programs. The paper emphasizes that educating employees about cybersecurity best practices, such as identifying phishing attempts and creating strong passwords, is crucial in mitigating risks.</w:t>
            </w:r>
          </w:p>
          <w:p w14:paraId="36936183" w14:textId="77777777" w:rsidR="00122AD4" w:rsidRDefault="00122AD4">
            <w:pPr>
              <w:pStyle w:val="NoSpacing"/>
              <w:jc w:val="both"/>
              <w:rPr>
                <w:rFonts w:ascii="Times New Roman" w:hAnsi="Times New Roman"/>
                <w:sz w:val="20"/>
                <w:szCs w:val="20"/>
              </w:rPr>
            </w:pPr>
          </w:p>
          <w:p w14:paraId="4F10A240"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Another significant area of focus identified in recent literature is advanced authentication methods. "Biometric Authentication in Banking: A Review of Current Trends" by Johnson and Patel explores the effectiveness of </w:t>
            </w:r>
            <w:r>
              <w:rPr>
                <w:rFonts w:ascii="Times New Roman" w:hAnsi="Times New Roman"/>
                <w:sz w:val="20"/>
                <w:szCs w:val="20"/>
                <w:lang w:val="en-IN"/>
              </w:rPr>
              <w:t>bio metric</w:t>
            </w:r>
            <w:r>
              <w:rPr>
                <w:rFonts w:ascii="Times New Roman" w:hAnsi="Times New Roman"/>
                <w:sz w:val="20"/>
                <w:szCs w:val="20"/>
              </w:rPr>
              <w:t xml:space="preserve"> authentication in enhancing security measures within banking systems. Similarly, "Multi-Factor Authentication for Cybersecurity in Banking: A Comparative Analysis" by Lee et al. examines the benefits of multi-factor authentication in preventing unauthorized access and fraudulent activities.</w:t>
            </w:r>
          </w:p>
          <w:p w14:paraId="4C2D4BEA" w14:textId="77777777" w:rsidR="00122AD4" w:rsidRDefault="00122AD4">
            <w:pPr>
              <w:pStyle w:val="NoSpacing"/>
              <w:jc w:val="both"/>
              <w:rPr>
                <w:rFonts w:ascii="Times New Roman" w:hAnsi="Times New Roman"/>
                <w:sz w:val="20"/>
                <w:szCs w:val="20"/>
              </w:rPr>
            </w:pPr>
          </w:p>
          <w:p w14:paraId="00C6219C" w14:textId="77777777" w:rsidR="00122AD4" w:rsidRDefault="002531F9">
            <w:pPr>
              <w:pStyle w:val="NoSpacing"/>
              <w:jc w:val="both"/>
              <w:rPr>
                <w:rFonts w:ascii="Times New Roman" w:hAnsi="Times New Roman"/>
                <w:sz w:val="20"/>
                <w:szCs w:val="20"/>
              </w:rPr>
            </w:pPr>
            <w:r>
              <w:rPr>
                <w:rFonts w:ascii="Times New Roman" w:hAnsi="Times New Roman"/>
                <w:sz w:val="20"/>
                <w:szCs w:val="20"/>
              </w:rPr>
              <w:t>Moreover, scholars have investigated the role of artificial intelligence (AI) and machine learning (ML) in fraud detection and prevention. "AI-Driven Fraud Detection in Banking: A Case Study" by Gupta and Sharma demonstrates how AI-driven algorithms can analyze vast amounts of data in real-time to identify suspicious patterns and anomalies, thereby enabling banks to proactively thwart cyber threats.</w:t>
            </w:r>
          </w:p>
          <w:p w14:paraId="4C0409BB" w14:textId="77777777" w:rsidR="00122AD4" w:rsidRDefault="00122AD4">
            <w:pPr>
              <w:pStyle w:val="NoSpacing"/>
              <w:jc w:val="both"/>
              <w:rPr>
                <w:rFonts w:ascii="Times New Roman" w:hAnsi="Times New Roman"/>
                <w:sz w:val="20"/>
                <w:szCs w:val="20"/>
              </w:rPr>
            </w:pPr>
          </w:p>
          <w:p w14:paraId="51F61D48" w14:textId="77777777" w:rsidR="00122AD4" w:rsidRDefault="002531F9">
            <w:pPr>
              <w:pStyle w:val="NoSpacing"/>
              <w:jc w:val="both"/>
              <w:rPr>
                <w:rFonts w:ascii="Times New Roman" w:hAnsi="Times New Roman"/>
                <w:sz w:val="20"/>
                <w:szCs w:val="20"/>
              </w:rPr>
            </w:pPr>
            <w:r>
              <w:rPr>
                <w:rFonts w:ascii="Times New Roman" w:hAnsi="Times New Roman"/>
                <w:sz w:val="20"/>
                <w:szCs w:val="20"/>
              </w:rPr>
              <w:t>Additionally, research emphasizes the importance of collaboration among banks, government agencies, and cybersecurity experts. "Collaborative Cybersecurity Initiatives in Banking: Lessons Learned and Future Directions" by Wang and Kim highlights the value of sharing threat intelligence and collaborating on cybersecurity initiatives to strengthen the resilience of the banking sector against cyber attacks.</w:t>
            </w:r>
          </w:p>
          <w:p w14:paraId="69CE29FF" w14:textId="77777777" w:rsidR="00122AD4" w:rsidRDefault="00122AD4">
            <w:pPr>
              <w:pStyle w:val="NoSpacing"/>
              <w:jc w:val="both"/>
              <w:rPr>
                <w:rFonts w:ascii="Times New Roman" w:hAnsi="Times New Roman"/>
                <w:sz w:val="20"/>
                <w:szCs w:val="20"/>
              </w:rPr>
            </w:pPr>
          </w:p>
          <w:p w14:paraId="252E097C" w14:textId="77777777" w:rsidR="00122AD4" w:rsidRDefault="002531F9">
            <w:pPr>
              <w:pStyle w:val="NoSpacing"/>
              <w:jc w:val="both"/>
              <w:rPr>
                <w:rFonts w:ascii="Times New Roman" w:hAnsi="Times New Roman"/>
                <w:lang w:val="zh-CN" w:eastAsia="zh-CN"/>
              </w:rPr>
            </w:pPr>
            <w:r>
              <w:rPr>
                <w:rFonts w:ascii="Times New Roman" w:hAnsi="Times New Roman"/>
                <w:sz w:val="20"/>
                <w:szCs w:val="20"/>
              </w:rPr>
              <w:t xml:space="preserve">In conclusion, the literature underscores the multifaceted approach required to prevent cyber fraud in the banking sector, including employee training, advanced authentication methods, AI-driven fraud detection, and collaborative efforts among stakeholders. Further research in these areas is crucial to stay ahead of evolving cyber threats and safeguard </w:t>
            </w:r>
            <w:r>
              <w:rPr>
                <w:rFonts w:ascii="Times New Roman" w:hAnsi="Times New Roman"/>
                <w:sz w:val="20"/>
                <w:szCs w:val="20"/>
              </w:rPr>
              <w:t>the integrity of financial systems.</w:t>
            </w:r>
            <w:r>
              <w:rPr>
                <w:rFonts w:ascii="Times New Roman" w:hAnsi="Times New Roman"/>
                <w:b/>
                <w:bCs/>
                <w:noProof/>
                <w:sz w:val="24"/>
                <w:szCs w:val="24"/>
              </w:rPr>
              <w:drawing>
                <wp:inline distT="0" distB="0" distL="0" distR="0" wp14:anchorId="1A236D44" wp14:editId="05CF0EC6">
                  <wp:extent cx="2645410" cy="1598295"/>
                  <wp:effectExtent l="9525" t="9525" r="12065" b="22860"/>
                  <wp:docPr id="158489652" name="Picture 14" descr="Forms response chart. Question title: In your opinion, what additional measures can banks take to prevent cyber fraud?. Number of responses: 3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9652" name="Picture 14" descr="Forms response chart. Question title: In your opinion, what additional measures can banks take to prevent cyber fraud?. Number of responses: 39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645410" cy="1630312"/>
                          </a:xfrm>
                          <a:prstGeom prst="rect">
                            <a:avLst/>
                          </a:prstGeom>
                          <a:noFill/>
                          <a:ln>
                            <a:solidFill>
                              <a:schemeClr val="tx1"/>
                            </a:solidFill>
                          </a:ln>
                        </pic:spPr>
                      </pic:pic>
                    </a:graphicData>
                  </a:graphic>
                </wp:inline>
              </w:drawing>
            </w:r>
          </w:p>
          <w:p w14:paraId="722E9876" w14:textId="77777777" w:rsidR="00122AD4" w:rsidRDefault="002531F9">
            <w:pPr>
              <w:pStyle w:val="NoSpacing"/>
              <w:ind w:firstLineChars="500" w:firstLine="1004"/>
              <w:jc w:val="both"/>
              <w:rPr>
                <w:rFonts w:ascii="Times New Roman" w:hAnsi="Times New Roman"/>
                <w:lang w:val="en-IN" w:eastAsia="zh-CN"/>
              </w:rPr>
            </w:pPr>
            <w:r>
              <w:rPr>
                <w:rFonts w:ascii="Times New Roman" w:hAnsi="Times New Roman"/>
                <w:b/>
                <w:sz w:val="20"/>
                <w:szCs w:val="20"/>
              </w:rPr>
              <w:t>Fig-2</w:t>
            </w:r>
            <w:r>
              <w:rPr>
                <w:rFonts w:ascii="Times New Roman" w:hAnsi="Times New Roman"/>
                <w:b/>
                <w:sz w:val="20"/>
                <w:szCs w:val="20"/>
                <w:lang w:val="en-IN"/>
              </w:rPr>
              <w:t xml:space="preserve"> Decisions of people</w:t>
            </w:r>
          </w:p>
          <w:p w14:paraId="009BCC79" w14:textId="77777777" w:rsidR="00122AD4" w:rsidRDefault="00122AD4">
            <w:pPr>
              <w:pStyle w:val="NoSpacing"/>
              <w:jc w:val="both"/>
              <w:rPr>
                <w:rFonts w:ascii="Times New Roman" w:hAnsi="Times New Roman"/>
                <w:lang w:val="zh-CN" w:eastAsia="zh-CN"/>
              </w:rPr>
            </w:pPr>
          </w:p>
          <w:p w14:paraId="73FFFD1E" w14:textId="77777777" w:rsidR="00122AD4" w:rsidRDefault="002531F9">
            <w:pPr>
              <w:pStyle w:val="NoSpacing"/>
              <w:jc w:val="both"/>
              <w:rPr>
                <w:rFonts w:ascii="Times New Roman" w:hAnsi="Times New Roman"/>
                <w:lang w:val="zh-CN" w:eastAsia="zh-CN"/>
              </w:rPr>
            </w:pPr>
            <w:r>
              <w:rPr>
                <w:rFonts w:ascii="Times New Roman" w:hAnsi="Times New Roman"/>
                <w:b/>
                <w:bCs/>
                <w:noProof/>
                <w:sz w:val="24"/>
                <w:szCs w:val="24"/>
              </w:rPr>
              <w:drawing>
                <wp:inline distT="0" distB="0" distL="0" distR="0" wp14:anchorId="589A3E7A" wp14:editId="4202F072">
                  <wp:extent cx="2668905" cy="2726055"/>
                  <wp:effectExtent l="9525" t="9525" r="19050" b="22860"/>
                  <wp:docPr id="275632478" name="Picture 11" descr="Forms response chart. Question title:  What measures do you take to protect your online banking account from cyber fraud?. Number of responses: 38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32478" name="Picture 11" descr="Forms response chart. Question title:  What measures do you take to protect your online banking account from cyber fraud?. Number of responses: 38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668905" cy="2726055"/>
                          </a:xfrm>
                          <a:prstGeom prst="rect">
                            <a:avLst/>
                          </a:prstGeom>
                          <a:noFill/>
                          <a:ln>
                            <a:solidFill>
                              <a:schemeClr val="tx1"/>
                            </a:solidFill>
                          </a:ln>
                        </pic:spPr>
                      </pic:pic>
                    </a:graphicData>
                  </a:graphic>
                </wp:inline>
              </w:drawing>
            </w:r>
          </w:p>
          <w:p w14:paraId="3E9E6CD3" w14:textId="77777777" w:rsidR="00122AD4" w:rsidRDefault="002531F9">
            <w:pPr>
              <w:pStyle w:val="NoSpacing"/>
              <w:jc w:val="center"/>
              <w:rPr>
                <w:rFonts w:ascii="Times New Roman" w:hAnsi="Times New Roman"/>
                <w:b/>
                <w:lang w:val="en-IN"/>
              </w:rPr>
            </w:pPr>
            <w:r>
              <w:rPr>
                <w:rFonts w:ascii="Times New Roman" w:hAnsi="Times New Roman"/>
                <w:b/>
                <w:sz w:val="20"/>
                <w:szCs w:val="20"/>
              </w:rPr>
              <w:t>Fig-3</w:t>
            </w:r>
            <w:r>
              <w:rPr>
                <w:rFonts w:ascii="Times New Roman" w:hAnsi="Times New Roman"/>
                <w:b/>
                <w:sz w:val="20"/>
                <w:szCs w:val="20"/>
                <w:lang w:val="en-IN"/>
              </w:rPr>
              <w:t xml:space="preserve"> Survey Details</w:t>
            </w:r>
          </w:p>
          <w:p w14:paraId="5EC1A282" w14:textId="77777777" w:rsidR="00122AD4" w:rsidRDefault="00122AD4">
            <w:pPr>
              <w:pStyle w:val="NoSpacing"/>
              <w:jc w:val="both"/>
              <w:rPr>
                <w:rFonts w:ascii="Times New Roman" w:hAnsi="Times New Roman"/>
                <w:b/>
              </w:rPr>
            </w:pPr>
          </w:p>
          <w:p w14:paraId="4584367C" w14:textId="77777777" w:rsidR="00122AD4" w:rsidRDefault="00122AD4">
            <w:pPr>
              <w:pStyle w:val="NoSpacing"/>
              <w:jc w:val="both"/>
              <w:rPr>
                <w:rFonts w:ascii="Times New Roman" w:hAnsi="Times New Roman"/>
                <w:b/>
              </w:rPr>
            </w:pPr>
          </w:p>
          <w:p w14:paraId="7C2B040A" w14:textId="77777777" w:rsidR="00122AD4" w:rsidRDefault="002531F9">
            <w:pPr>
              <w:pStyle w:val="NoSpacing"/>
              <w:jc w:val="both"/>
              <w:rPr>
                <w:rFonts w:ascii="Times New Roman" w:hAnsi="Times New Roman"/>
                <w:b/>
                <w:sz w:val="24"/>
                <w:szCs w:val="24"/>
              </w:rPr>
            </w:pPr>
            <w:r>
              <w:rPr>
                <w:rFonts w:ascii="Times New Roman" w:hAnsi="Times New Roman"/>
                <w:b/>
                <w:sz w:val="24"/>
                <w:szCs w:val="24"/>
              </w:rPr>
              <w:t>PROPOSED METHODOLOGY</w:t>
            </w:r>
          </w:p>
          <w:p w14:paraId="19470166" w14:textId="77777777" w:rsidR="00122AD4" w:rsidRDefault="00122AD4">
            <w:pPr>
              <w:pStyle w:val="NoSpacing"/>
              <w:jc w:val="both"/>
              <w:rPr>
                <w:rFonts w:ascii="Times New Roman" w:hAnsi="Times New Roman"/>
                <w:b/>
                <w:sz w:val="24"/>
                <w:szCs w:val="24"/>
              </w:rPr>
            </w:pPr>
          </w:p>
          <w:p w14:paraId="540D7301"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In the fast-evolving realm of </w:t>
            </w:r>
            <w:r>
              <w:rPr>
                <w:rFonts w:ascii="Times New Roman" w:hAnsi="Times New Roman"/>
                <w:sz w:val="20"/>
                <w:szCs w:val="20"/>
                <w:lang w:val="en-IN"/>
              </w:rPr>
              <w:t>cyber security</w:t>
            </w:r>
            <w:r>
              <w:rPr>
                <w:rFonts w:ascii="Times New Roman" w:hAnsi="Times New Roman"/>
                <w:sz w:val="20"/>
                <w:szCs w:val="20"/>
              </w:rPr>
              <w:t xml:space="preserve"> within the banking sector, it is essential for institutions to proactively adapt to state-of-the-art technologies to stay ahead of evolving threats. This modernized approach emphasizes integrating advanced tools to comprehensively enhance the security framework of financial institutions. The strategy encompasses a diverse array of elements carefully tailored to address various aspects of cybersecurity in today's digital era.</w:t>
            </w:r>
          </w:p>
          <w:p w14:paraId="2301DC1C" w14:textId="77777777" w:rsidR="00122AD4" w:rsidRDefault="002531F9">
            <w:pPr>
              <w:pStyle w:val="NormalWeb"/>
              <w:jc w:val="both"/>
              <w:rPr>
                <w:sz w:val="20"/>
                <w:szCs w:val="20"/>
              </w:rPr>
            </w:pPr>
            <w:r>
              <w:rPr>
                <w:sz w:val="20"/>
                <w:szCs w:val="20"/>
              </w:rPr>
              <w:t>In response to the constantly changing cybersecurity landscape, banking institutions must embrace a multifaceted approach to strengthen their defenses against emerging threats. This approach involves leveraging cutting-edge technologies tailored to address specific vulnerabilities and risks prevalent in the modern digital environment. Artificial intelligence (AI) and machine learning (ML) algorithms play a critical role in real-time threat detection by analyzing extensive datasets, swiftly identifying anoma</w:t>
            </w:r>
            <w:r>
              <w:rPr>
                <w:sz w:val="20"/>
                <w:szCs w:val="20"/>
              </w:rPr>
              <w:t xml:space="preserve">lies, and improving predictive capabilities. Blockchain technology offers a revolutionary solution for enhancing data integrity and transparency in financial transactions, thereby reducing the risk of fraud and tampering through its decentralized and immutable nature.Adopting a Zero Trust security model is crucial for continuously verifying user and device identities, </w:t>
            </w:r>
            <w:r>
              <w:rPr>
                <w:sz w:val="20"/>
                <w:szCs w:val="20"/>
              </w:rPr>
              <w:lastRenderedPageBreak/>
              <w:t>thereby minimizing the risk of unauthorized access to banking systems. Cloud-based security solutions offer scalability and advanced threat p</w:t>
            </w:r>
            <w:r>
              <w:rPr>
                <w:sz w:val="20"/>
                <w:szCs w:val="20"/>
              </w:rPr>
              <w:t xml:space="preserve">rotection, safeguarding critical data and applications hosted on cloud platforms. Future threat preparedness involves researching and adopting quantum-safe encryption methods to protect data against potential quantum computing attacks. Strengthening </w:t>
            </w:r>
            <w:r>
              <w:rPr>
                <w:sz w:val="20"/>
                <w:szCs w:val="20"/>
                <w:lang w:val="en-IN"/>
              </w:rPr>
              <w:t>bio metric</w:t>
            </w:r>
            <w:r>
              <w:rPr>
                <w:sz w:val="20"/>
                <w:szCs w:val="20"/>
              </w:rPr>
              <w:t xml:space="preserve"> authentication through technologies such as facial recognition and behavioral </w:t>
            </w:r>
            <w:r>
              <w:rPr>
                <w:sz w:val="20"/>
                <w:szCs w:val="20"/>
                <w:lang w:val="en-IN"/>
              </w:rPr>
              <w:t>bio metrics</w:t>
            </w:r>
            <w:r>
              <w:rPr>
                <w:sz w:val="20"/>
                <w:szCs w:val="20"/>
              </w:rPr>
              <w:t xml:space="preserve"> adds an additional layer of security to customer verification processes.</w:t>
            </w:r>
          </w:p>
          <w:p w14:paraId="1965E37C" w14:textId="77777777" w:rsidR="00122AD4" w:rsidRDefault="002531F9">
            <w:pPr>
              <w:pStyle w:val="NormalWeb"/>
              <w:jc w:val="both"/>
              <w:rPr>
                <w:sz w:val="20"/>
                <w:szCs w:val="20"/>
              </w:rPr>
            </w:pPr>
            <w:r>
              <w:rPr>
                <w:sz w:val="20"/>
                <w:szCs w:val="20"/>
              </w:rPr>
              <w:t xml:space="preserve">The deployment of endpoint detection and response (EDR) solutions equipped with AI enhances overall device protection against increasingly sophisticated cyber threats. Utilizing deception techniques aids in early threat identification and minimizes potential damage by misleading and trapping </w:t>
            </w:r>
            <w:r>
              <w:rPr>
                <w:sz w:val="20"/>
                <w:szCs w:val="20"/>
                <w:lang w:val="en-IN"/>
              </w:rPr>
              <w:t>cyber criminals</w:t>
            </w:r>
            <w:r>
              <w:rPr>
                <w:sz w:val="20"/>
                <w:szCs w:val="20"/>
              </w:rPr>
              <w:t xml:space="preserve"> in controlled environments. Harnessing big data analytics provides invaluable insights into cybersecurity trends, enabling proactive responses to emerging threats. Integrating security into the DevOps process ensures early identification and remediation of vulnerabilities in banking applications. Strengthening API security protects against attacks targeting interfaces between banking systems and third-party services. Implementing multi-cloud security solutions maintains consistent security a</w:t>
            </w:r>
            <w:r>
              <w:rPr>
                <w:sz w:val="20"/>
                <w:szCs w:val="20"/>
              </w:rPr>
              <w:t>cross diverse cloud environments.</w:t>
            </w:r>
          </w:p>
          <w:p w14:paraId="74D4C032" w14:textId="77777777" w:rsidR="00122AD4" w:rsidRDefault="002531F9">
            <w:pPr>
              <w:pStyle w:val="NormalWeb"/>
              <w:jc w:val="both"/>
              <w:rPr>
                <w:b/>
                <w:sz w:val="20"/>
                <w:szCs w:val="20"/>
              </w:rPr>
            </w:pPr>
            <w:r>
              <w:rPr>
                <w:sz w:val="20"/>
                <w:szCs w:val="20"/>
              </w:rPr>
              <w:t xml:space="preserve">As 5G networks become more prevalent, focusing on 5G security measures is crucial to </w:t>
            </w:r>
            <w:r>
              <w:rPr>
                <w:sz w:val="20"/>
                <w:szCs w:val="20"/>
                <w:lang w:val="en-IN"/>
              </w:rPr>
              <w:t>addressing</w:t>
            </w:r>
            <w:r>
              <w:rPr>
                <w:sz w:val="20"/>
                <w:szCs w:val="20"/>
              </w:rPr>
              <w:t xml:space="preserve"> potential vulnerabilities in advanced networking technology. Investing in threat intelligence platforms (TIPs) assists in informed decision-making by aggregating and analyzing threat data from various sources. Leveraging automation and orchestration reduces response time to threats, ultimately mitigating potential breaches more effectively. Strengthening security for IoT devices prevents them from becoming potential entry points for </w:t>
            </w:r>
            <w:r>
              <w:rPr>
                <w:sz w:val="20"/>
                <w:szCs w:val="20"/>
                <w:lang w:val="en-IN"/>
              </w:rPr>
              <w:t>cyber attacks</w:t>
            </w:r>
            <w:r>
              <w:rPr>
                <w:sz w:val="20"/>
                <w:szCs w:val="20"/>
              </w:rPr>
              <w:t>. Utilizing quantitative risk assessment models pri</w:t>
            </w:r>
            <w:r>
              <w:rPr>
                <w:sz w:val="20"/>
                <w:szCs w:val="20"/>
              </w:rPr>
              <w:t>oritizes security investments effectively based on the latest threat intelligence. Implementing continuous monitoring and adaptive security measures ensures that security measures remain effective amidst evolving cyber threats, ultimately fostering resilience and confidence in banking systems.</w:t>
            </w:r>
            <w:r>
              <w:rPr>
                <w:sz w:val="20"/>
                <w:szCs w:val="20"/>
              </w:rPr>
              <w:t>.</w:t>
            </w:r>
          </w:p>
          <w:p w14:paraId="20DE2831" w14:textId="77777777" w:rsidR="00122AD4" w:rsidRDefault="002531F9">
            <w:pPr>
              <w:pStyle w:val="NoSpacing"/>
              <w:jc w:val="both"/>
              <w:rPr>
                <w:rFonts w:ascii="Times New Roman" w:hAnsi="Times New Roman"/>
                <w:b/>
                <w:sz w:val="24"/>
                <w:szCs w:val="24"/>
              </w:rPr>
            </w:pPr>
            <w:r>
              <w:rPr>
                <w:rFonts w:ascii="Times New Roman" w:hAnsi="Times New Roman"/>
                <w:b/>
                <w:sz w:val="24"/>
                <w:szCs w:val="24"/>
              </w:rPr>
              <w:t>USE-CASE</w:t>
            </w:r>
          </w:p>
          <w:p w14:paraId="05B8942E" w14:textId="77777777" w:rsidR="00122AD4" w:rsidRDefault="00122AD4">
            <w:pPr>
              <w:pStyle w:val="NoSpacing"/>
              <w:jc w:val="both"/>
              <w:rPr>
                <w:rFonts w:ascii="Times New Roman" w:hAnsi="Times New Roman"/>
                <w:bCs/>
                <w:sz w:val="20"/>
                <w:szCs w:val="20"/>
              </w:rPr>
            </w:pPr>
          </w:p>
          <w:p w14:paraId="15195AEA"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In a practical scenario, a prominent </w:t>
            </w:r>
            <w:r>
              <w:rPr>
                <w:rFonts w:ascii="Times New Roman" w:hAnsi="Times New Roman"/>
                <w:sz w:val="20"/>
                <w:szCs w:val="20"/>
              </w:rPr>
              <w:t>banking institution faced with escalating cyber threats and heightened regulatory scrutiny opts to strengthen its cybersecurity measures to safeguard sensitive customer data, enhance trust, and comply with industry regulations. To achieve this goal, the bank adopts a comprehensive cybersecurity strategy integrating advanced technologies tailored to address specific vulnerabilities and risks prevalent in today's digital landscape. Utilizing artificial intelligence (AI) and machine learning (ML) algorithms, t</w:t>
            </w:r>
            <w:r>
              <w:rPr>
                <w:rFonts w:ascii="Times New Roman" w:hAnsi="Times New Roman"/>
                <w:sz w:val="20"/>
                <w:szCs w:val="20"/>
              </w:rPr>
              <w:t xml:space="preserve">he bank improves its ability to detect threats by analyzing large datasets in real-time, promptly identifying </w:t>
            </w:r>
            <w:r>
              <w:rPr>
                <w:rFonts w:ascii="Times New Roman" w:hAnsi="Times New Roman"/>
                <w:sz w:val="20"/>
                <w:szCs w:val="20"/>
              </w:rPr>
              <w:t>anomalies and potential risks for proactive intervention.</w:t>
            </w:r>
          </w:p>
          <w:p w14:paraId="08C19150" w14:textId="77777777" w:rsidR="00122AD4" w:rsidRDefault="00122AD4">
            <w:pPr>
              <w:pStyle w:val="NoSpacing"/>
              <w:jc w:val="both"/>
              <w:rPr>
                <w:rFonts w:ascii="Times New Roman" w:hAnsi="Times New Roman"/>
                <w:sz w:val="20"/>
                <w:szCs w:val="20"/>
              </w:rPr>
            </w:pPr>
          </w:p>
          <w:p w14:paraId="04F0566D" w14:textId="77777777" w:rsidR="00122AD4" w:rsidRDefault="002531F9">
            <w:pPr>
              <w:pStyle w:val="NoSpacing"/>
              <w:jc w:val="both"/>
              <w:rPr>
                <w:rFonts w:ascii="Times New Roman" w:hAnsi="Times New Roman"/>
                <w:sz w:val="20"/>
                <w:szCs w:val="20"/>
              </w:rPr>
            </w:pPr>
            <w:r>
              <w:rPr>
                <w:rFonts w:ascii="Times New Roman" w:hAnsi="Times New Roman"/>
                <w:sz w:val="20"/>
                <w:szCs w:val="20"/>
              </w:rPr>
              <w:t>Moreover, the implementation of blockchain technology enhances the integrity and transparency of financial transactions, significantly reducing the risk of fraud and manipulation. By adopting a Zero Trust security model, the bank ensures continuous verification of user and device identities, minimizing the possibility of unauthorized access to its systems. Cloud-based security solutions are deployed to safeguard critical data and applications hosted on cloud platforms, offering scalability and advanced thre</w:t>
            </w:r>
            <w:r>
              <w:rPr>
                <w:rFonts w:ascii="Times New Roman" w:hAnsi="Times New Roman"/>
                <w:sz w:val="20"/>
                <w:szCs w:val="20"/>
              </w:rPr>
              <w:t>at protection. In anticipation of future threats, the bank explores and integrates quantum-safe encryption methods to safeguard sensitive data against potential attacks from quantum computing.</w:t>
            </w:r>
          </w:p>
          <w:p w14:paraId="13303518" w14:textId="77777777" w:rsidR="00122AD4" w:rsidRDefault="00122AD4">
            <w:pPr>
              <w:pStyle w:val="NoSpacing"/>
              <w:jc w:val="both"/>
              <w:rPr>
                <w:rFonts w:ascii="Times New Roman" w:hAnsi="Times New Roman"/>
                <w:sz w:val="20"/>
                <w:szCs w:val="20"/>
              </w:rPr>
            </w:pPr>
          </w:p>
          <w:p w14:paraId="3B71949D"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Additionally, the bank strengthens its customer verification processes by enhancing </w:t>
            </w:r>
            <w:r>
              <w:rPr>
                <w:rFonts w:ascii="Times New Roman" w:hAnsi="Times New Roman"/>
                <w:sz w:val="20"/>
                <w:szCs w:val="20"/>
                <w:lang w:val="en-IN"/>
              </w:rPr>
              <w:t>bio metric</w:t>
            </w:r>
            <w:r>
              <w:rPr>
                <w:rFonts w:ascii="Times New Roman" w:hAnsi="Times New Roman"/>
                <w:sz w:val="20"/>
                <w:szCs w:val="20"/>
              </w:rPr>
              <w:t xml:space="preserve"> authentication through technologies such as facial recognition and behavioral </w:t>
            </w:r>
            <w:r>
              <w:rPr>
                <w:rFonts w:ascii="Times New Roman" w:hAnsi="Times New Roman"/>
                <w:sz w:val="20"/>
                <w:szCs w:val="20"/>
                <w:lang w:val="en-IN"/>
              </w:rPr>
              <w:t>bio metrics</w:t>
            </w:r>
            <w:r>
              <w:rPr>
                <w:rFonts w:ascii="Times New Roman" w:hAnsi="Times New Roman"/>
                <w:sz w:val="20"/>
                <w:szCs w:val="20"/>
              </w:rPr>
              <w:t>. Through the successful implementation of these advanced cybersecurity measures, the banking institution enhances its overall security posture, mitigates risks associated with cyber threats, and remains compliant with regulatory standards. As a result, the bank instills greater confidence and loyalty among customers, establishing itself as a leader in safeguarding sensitive financial information within the i</w:t>
            </w:r>
            <w:r>
              <w:rPr>
                <w:rFonts w:ascii="Times New Roman" w:hAnsi="Times New Roman"/>
                <w:sz w:val="20"/>
                <w:szCs w:val="20"/>
              </w:rPr>
              <w:t>ndustry.</w:t>
            </w:r>
          </w:p>
          <w:p w14:paraId="0F5F1C09" w14:textId="77777777" w:rsidR="00122AD4" w:rsidRDefault="00122AD4">
            <w:pPr>
              <w:pStyle w:val="NoSpacing"/>
              <w:jc w:val="both"/>
              <w:rPr>
                <w:rFonts w:ascii="Times New Roman" w:hAnsi="Times New Roman"/>
                <w:sz w:val="20"/>
                <w:szCs w:val="20"/>
              </w:rPr>
            </w:pPr>
          </w:p>
          <w:p w14:paraId="4EC3464F" w14:textId="77777777" w:rsidR="00122AD4" w:rsidRDefault="002531F9">
            <w:pPr>
              <w:pStyle w:val="NoSpacing"/>
              <w:jc w:val="both"/>
              <w:rPr>
                <w:rFonts w:ascii="Times New Roman" w:hAnsi="Times New Roman"/>
                <w:b/>
                <w:bCs/>
                <w:sz w:val="24"/>
                <w:szCs w:val="24"/>
              </w:rPr>
            </w:pPr>
            <w:r>
              <w:rPr>
                <w:rFonts w:ascii="Times New Roman" w:hAnsi="Times New Roman"/>
                <w:b/>
                <w:bCs/>
                <w:sz w:val="24"/>
                <w:szCs w:val="24"/>
              </w:rPr>
              <w:t>CONCLUSION</w:t>
            </w:r>
          </w:p>
          <w:p w14:paraId="346D11A7" w14:textId="77777777" w:rsidR="00122AD4" w:rsidRDefault="00122AD4">
            <w:pPr>
              <w:pStyle w:val="NoSpacing"/>
              <w:jc w:val="both"/>
              <w:rPr>
                <w:rFonts w:ascii="Times New Roman" w:hAnsi="Times New Roman"/>
                <w:b/>
                <w:bCs/>
                <w:sz w:val="24"/>
                <w:szCs w:val="24"/>
              </w:rPr>
            </w:pPr>
          </w:p>
          <w:p w14:paraId="574AFC0C"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In the effort to prevent cyber frauds within the banking sector, several key strategies have emerged to mitigate risks and safeguard sensitive information. One crucial approach is the adoption of advanced </w:t>
            </w:r>
            <w:r>
              <w:rPr>
                <w:rFonts w:ascii="Times New Roman" w:hAnsi="Times New Roman"/>
                <w:sz w:val="20"/>
                <w:szCs w:val="20"/>
                <w:lang w:val="en-IN"/>
              </w:rPr>
              <w:t>cyber security</w:t>
            </w:r>
            <w:r>
              <w:rPr>
                <w:rFonts w:ascii="Times New Roman" w:hAnsi="Times New Roman"/>
                <w:sz w:val="20"/>
                <w:szCs w:val="20"/>
              </w:rPr>
              <w:t xml:space="preserve"> measures tailored to the evolving threat landscape. This includes implementing cutting-edge technologies such as artificial intelligence (AI) and machine learning (ML) algorithms. By analyzing vast amounts of data in real-time, these technologies enable banks to swiftly detect anomalies and potential threats, empowering them to respond proactively to emerging risks.</w:t>
            </w:r>
          </w:p>
          <w:p w14:paraId="72B44407" w14:textId="77777777" w:rsidR="00122AD4" w:rsidRDefault="00122AD4">
            <w:pPr>
              <w:pStyle w:val="NoSpacing"/>
              <w:jc w:val="both"/>
              <w:rPr>
                <w:rFonts w:ascii="Times New Roman" w:hAnsi="Times New Roman"/>
                <w:sz w:val="20"/>
                <w:szCs w:val="20"/>
              </w:rPr>
            </w:pPr>
          </w:p>
          <w:p w14:paraId="08A2C16C"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Furthermore, the integration of </w:t>
            </w:r>
            <w:r>
              <w:rPr>
                <w:rFonts w:ascii="Times New Roman" w:hAnsi="Times New Roman"/>
                <w:sz w:val="20"/>
                <w:szCs w:val="20"/>
                <w:lang w:val="en-IN"/>
              </w:rPr>
              <w:t>blockchain</w:t>
            </w:r>
            <w:r>
              <w:rPr>
                <w:rFonts w:ascii="Times New Roman" w:hAnsi="Times New Roman"/>
                <w:sz w:val="20"/>
                <w:szCs w:val="20"/>
              </w:rPr>
              <w:t xml:space="preserve"> technology has proven effective in enhancing data integrity and transparency in financial transactions. By providing a decentralized and immutable ledger, </w:t>
            </w:r>
            <w:r>
              <w:rPr>
                <w:rFonts w:ascii="Times New Roman" w:hAnsi="Times New Roman"/>
                <w:sz w:val="20"/>
                <w:szCs w:val="20"/>
                <w:lang w:val="en-IN"/>
              </w:rPr>
              <w:t>block chain</w:t>
            </w:r>
            <w:r>
              <w:rPr>
                <w:rFonts w:ascii="Times New Roman" w:hAnsi="Times New Roman"/>
                <w:sz w:val="20"/>
                <w:szCs w:val="20"/>
              </w:rPr>
              <w:t xml:space="preserve"> significantly reduces the risk of fraud and tampering, bolstering trust in banking systems.</w:t>
            </w:r>
          </w:p>
          <w:p w14:paraId="66E30FE4" w14:textId="77777777" w:rsidR="00122AD4" w:rsidRDefault="00122AD4">
            <w:pPr>
              <w:pStyle w:val="NoSpacing"/>
              <w:jc w:val="both"/>
              <w:rPr>
                <w:rFonts w:ascii="Times New Roman" w:hAnsi="Times New Roman"/>
                <w:sz w:val="20"/>
                <w:szCs w:val="20"/>
              </w:rPr>
            </w:pPr>
          </w:p>
          <w:p w14:paraId="2FE59EDB" w14:textId="77777777" w:rsidR="00122AD4" w:rsidRDefault="002531F9">
            <w:pPr>
              <w:pStyle w:val="NoSpacing"/>
              <w:jc w:val="both"/>
              <w:rPr>
                <w:rFonts w:ascii="Times New Roman" w:hAnsi="Times New Roman"/>
                <w:sz w:val="20"/>
                <w:szCs w:val="20"/>
              </w:rPr>
            </w:pPr>
            <w:r>
              <w:rPr>
                <w:rFonts w:ascii="Times New Roman" w:hAnsi="Times New Roman"/>
                <w:sz w:val="20"/>
                <w:szCs w:val="20"/>
              </w:rPr>
              <w:t>Another essential aspect of prevention involves implementing a Zero Trust security model. This approach ensures continuous verification of user and device identities, minimizing the risk of unauthorized access to banking systems. Additionally, cloud-based security solutions offer scalability and advanced threat protection, enabling banks to secure critical data and applications hosted on cloud platforms effectively.</w:t>
            </w:r>
          </w:p>
          <w:p w14:paraId="170C0929" w14:textId="77777777" w:rsidR="00122AD4" w:rsidRDefault="00122AD4">
            <w:pPr>
              <w:pStyle w:val="NoSpacing"/>
              <w:jc w:val="both"/>
              <w:rPr>
                <w:rFonts w:ascii="Times New Roman" w:hAnsi="Times New Roman"/>
                <w:sz w:val="20"/>
                <w:szCs w:val="20"/>
              </w:rPr>
            </w:pPr>
          </w:p>
          <w:p w14:paraId="43C815F4"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Looking ahead, the adoption of quantum-safe encryption methods is crucial to preparing for future threats, safeguarding sensitive data against potential </w:t>
            </w:r>
            <w:r>
              <w:rPr>
                <w:rFonts w:ascii="Times New Roman" w:hAnsi="Times New Roman"/>
                <w:sz w:val="20"/>
                <w:szCs w:val="20"/>
              </w:rPr>
              <w:lastRenderedPageBreak/>
              <w:t xml:space="preserve">quantum computing attacks. Strengthening customer verification processes through </w:t>
            </w:r>
            <w:r>
              <w:rPr>
                <w:rFonts w:ascii="Times New Roman" w:hAnsi="Times New Roman"/>
                <w:sz w:val="20"/>
                <w:szCs w:val="20"/>
                <w:lang w:val="en-IN"/>
              </w:rPr>
              <w:t>bio metric</w:t>
            </w:r>
            <w:r>
              <w:rPr>
                <w:rFonts w:ascii="Times New Roman" w:hAnsi="Times New Roman"/>
                <w:sz w:val="20"/>
                <w:szCs w:val="20"/>
              </w:rPr>
              <w:t xml:space="preserve"> authentication technologies further </w:t>
            </w:r>
            <w:r>
              <w:rPr>
                <w:rFonts w:ascii="Times New Roman" w:hAnsi="Times New Roman"/>
                <w:sz w:val="20"/>
                <w:szCs w:val="20"/>
                <w:lang w:val="en-IN"/>
              </w:rPr>
              <w:t>enhances the</w:t>
            </w:r>
            <w:r>
              <w:rPr>
                <w:rFonts w:ascii="Times New Roman" w:hAnsi="Times New Roman"/>
                <w:sz w:val="20"/>
                <w:szCs w:val="20"/>
              </w:rPr>
              <w:t xml:space="preserve"> overall </w:t>
            </w:r>
            <w:r>
              <w:rPr>
                <w:rFonts w:ascii="Times New Roman" w:hAnsi="Times New Roman"/>
                <w:sz w:val="20"/>
                <w:szCs w:val="20"/>
                <w:lang w:val="en-IN"/>
              </w:rPr>
              <w:t>cyber security</w:t>
            </w:r>
            <w:r>
              <w:rPr>
                <w:rFonts w:ascii="Times New Roman" w:hAnsi="Times New Roman"/>
                <w:sz w:val="20"/>
                <w:szCs w:val="20"/>
              </w:rPr>
              <w:t xml:space="preserve"> posture, adding an extra layer of security.</w:t>
            </w:r>
          </w:p>
          <w:p w14:paraId="6DFF03FC" w14:textId="77777777" w:rsidR="00122AD4" w:rsidRDefault="00122AD4">
            <w:pPr>
              <w:pStyle w:val="NoSpacing"/>
              <w:jc w:val="both"/>
              <w:rPr>
                <w:rFonts w:ascii="Times New Roman" w:hAnsi="Times New Roman"/>
                <w:sz w:val="20"/>
                <w:szCs w:val="20"/>
              </w:rPr>
            </w:pPr>
          </w:p>
          <w:p w14:paraId="6B48CC49"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By implementing these proactive measures and continually adapting to evolving threats, banks can bolster trust, enhance customer confidence, and position themselves as leaders in </w:t>
            </w:r>
            <w:r>
              <w:rPr>
                <w:rFonts w:ascii="Times New Roman" w:hAnsi="Times New Roman"/>
                <w:sz w:val="20"/>
                <w:szCs w:val="20"/>
                <w:lang w:val="en-IN"/>
              </w:rPr>
              <w:t>cyber security</w:t>
            </w:r>
            <w:r>
              <w:rPr>
                <w:rFonts w:ascii="Times New Roman" w:hAnsi="Times New Roman"/>
                <w:sz w:val="20"/>
                <w:szCs w:val="20"/>
              </w:rPr>
              <w:t xml:space="preserve"> within the financial services industry. Investing in robust </w:t>
            </w:r>
            <w:r>
              <w:rPr>
                <w:rFonts w:ascii="Times New Roman" w:hAnsi="Times New Roman"/>
                <w:sz w:val="20"/>
                <w:szCs w:val="20"/>
                <w:lang w:val="en-IN"/>
              </w:rPr>
              <w:t>cyber security</w:t>
            </w:r>
            <w:r>
              <w:rPr>
                <w:rFonts w:ascii="Times New Roman" w:hAnsi="Times New Roman"/>
                <w:sz w:val="20"/>
                <w:szCs w:val="20"/>
              </w:rPr>
              <w:t xml:space="preserve"> infrastructure not only protects banks and their customers from cyber threats but also ensures the integrity and stability of the broader financial system. Ultimately, the prevention of cyber </w:t>
            </w:r>
            <w:r>
              <w:rPr>
                <w:rFonts w:ascii="Times New Roman" w:hAnsi="Times New Roman"/>
                <w:sz w:val="20"/>
                <w:szCs w:val="20"/>
                <w:lang w:val="en-IN"/>
              </w:rPr>
              <w:t>fraud</w:t>
            </w:r>
            <w:r>
              <w:rPr>
                <w:rFonts w:ascii="Times New Roman" w:hAnsi="Times New Roman"/>
                <w:sz w:val="20"/>
                <w:szCs w:val="20"/>
              </w:rPr>
              <w:t xml:space="preserve"> in the banking sector requires a multifaceted approach that integrates advanced technologies, robust security measures, and ongoing vigilance.</w:t>
            </w:r>
          </w:p>
          <w:p w14:paraId="62D20288" w14:textId="77777777" w:rsidR="00122AD4" w:rsidRDefault="00122AD4">
            <w:pPr>
              <w:pStyle w:val="NoSpacing"/>
              <w:jc w:val="both"/>
              <w:rPr>
                <w:rFonts w:ascii="Times New Roman" w:hAnsi="Times New Roman"/>
                <w:sz w:val="20"/>
                <w:szCs w:val="20"/>
              </w:rPr>
            </w:pPr>
          </w:p>
          <w:p w14:paraId="2DB7F88B" w14:textId="77777777" w:rsidR="00122AD4" w:rsidRDefault="002531F9">
            <w:pPr>
              <w:pStyle w:val="NoSpacing"/>
              <w:jc w:val="both"/>
              <w:rPr>
                <w:rFonts w:ascii="Times New Roman" w:hAnsi="Times New Roman"/>
                <w:b/>
                <w:bCs/>
                <w:sz w:val="24"/>
                <w:szCs w:val="24"/>
              </w:rPr>
            </w:pPr>
            <w:r>
              <w:rPr>
                <w:rFonts w:ascii="Times New Roman" w:hAnsi="Times New Roman"/>
                <w:b/>
                <w:bCs/>
                <w:sz w:val="24"/>
                <w:szCs w:val="24"/>
              </w:rPr>
              <w:t xml:space="preserve">REFERENCE </w:t>
            </w:r>
          </w:p>
          <w:p w14:paraId="05C6BDDF" w14:textId="77777777" w:rsidR="00122AD4" w:rsidRDefault="00122AD4">
            <w:pPr>
              <w:pStyle w:val="NoSpacing"/>
              <w:jc w:val="both"/>
              <w:rPr>
                <w:rFonts w:ascii="Times New Roman" w:hAnsi="Times New Roman"/>
                <w:b/>
                <w:bCs/>
                <w:sz w:val="24"/>
                <w:szCs w:val="24"/>
              </w:rPr>
            </w:pPr>
          </w:p>
          <w:p w14:paraId="346ED187"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Mishra, A., &amp; Kumar, A. (2019). Preventing Cyber Fraud in the Banking Sector: Best Practices for Mitigating Cyber Risks. </w:t>
            </w:r>
            <w:r>
              <w:rPr>
                <w:rStyle w:val="Emphasis"/>
                <w:rFonts w:ascii="Times New Roman" w:hAnsi="Times New Roman"/>
                <w:sz w:val="20"/>
                <w:szCs w:val="20"/>
              </w:rPr>
              <w:t>Journal of Banking and Financial Services, 11</w:t>
            </w:r>
            <w:r>
              <w:rPr>
                <w:rFonts w:ascii="Times New Roman" w:hAnsi="Times New Roman"/>
                <w:sz w:val="20"/>
                <w:szCs w:val="20"/>
              </w:rPr>
              <w:t>(2).</w:t>
            </w:r>
          </w:p>
          <w:p w14:paraId="1A6906C1" w14:textId="77777777" w:rsidR="00122AD4" w:rsidRDefault="00122AD4">
            <w:pPr>
              <w:pStyle w:val="NoSpacing"/>
              <w:jc w:val="both"/>
              <w:rPr>
                <w:rFonts w:ascii="Times New Roman" w:hAnsi="Times New Roman"/>
                <w:sz w:val="20"/>
                <w:szCs w:val="20"/>
              </w:rPr>
            </w:pPr>
          </w:p>
          <w:p w14:paraId="4A34E45E"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Olufowote, O., &amp; Owolabi, O. (2019). Cyber Fraud Prevention in the Banking Industry: A Review of Current Trends and Best Practices. </w:t>
            </w:r>
            <w:r>
              <w:rPr>
                <w:rStyle w:val="Emphasis"/>
                <w:rFonts w:ascii="Times New Roman" w:hAnsi="Times New Roman"/>
                <w:sz w:val="20"/>
                <w:szCs w:val="20"/>
              </w:rPr>
              <w:t>Journal of Information Technology Management, 30</w:t>
            </w:r>
            <w:r>
              <w:rPr>
                <w:rFonts w:ascii="Times New Roman" w:hAnsi="Times New Roman"/>
                <w:sz w:val="20"/>
                <w:szCs w:val="20"/>
              </w:rPr>
              <w:t>(2).</w:t>
            </w:r>
          </w:p>
          <w:p w14:paraId="6A29C436" w14:textId="77777777" w:rsidR="00122AD4" w:rsidRDefault="00122AD4">
            <w:pPr>
              <w:pStyle w:val="NoSpacing"/>
              <w:jc w:val="both"/>
              <w:rPr>
                <w:rFonts w:ascii="Times New Roman" w:hAnsi="Times New Roman"/>
                <w:sz w:val="20"/>
                <w:szCs w:val="20"/>
              </w:rPr>
            </w:pPr>
          </w:p>
          <w:p w14:paraId="5F593231"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Wu, S.-H., &amp; Chen, Y. (2019). Cyber Fraud in Banking: Prevention Strategies and Countermeasures. </w:t>
            </w:r>
            <w:r>
              <w:rPr>
                <w:rStyle w:val="Emphasis"/>
                <w:rFonts w:ascii="Times New Roman" w:hAnsi="Times New Roman"/>
                <w:sz w:val="20"/>
                <w:szCs w:val="20"/>
              </w:rPr>
              <w:t>Journal of Internet Banking and Commerce, 24</w:t>
            </w:r>
            <w:r>
              <w:rPr>
                <w:rFonts w:ascii="Times New Roman" w:hAnsi="Times New Roman"/>
                <w:sz w:val="20"/>
                <w:szCs w:val="20"/>
              </w:rPr>
              <w:t>(1).</w:t>
            </w:r>
          </w:p>
          <w:p w14:paraId="7BE77530" w14:textId="77777777" w:rsidR="00122AD4" w:rsidRDefault="00122AD4">
            <w:pPr>
              <w:pStyle w:val="NoSpacing"/>
              <w:jc w:val="both"/>
              <w:rPr>
                <w:rFonts w:ascii="Times New Roman" w:hAnsi="Times New Roman"/>
                <w:sz w:val="20"/>
                <w:szCs w:val="20"/>
              </w:rPr>
            </w:pPr>
          </w:p>
          <w:p w14:paraId="7987A826" w14:textId="77777777" w:rsidR="00122AD4" w:rsidRDefault="002531F9">
            <w:pPr>
              <w:pStyle w:val="NoSpacing"/>
              <w:jc w:val="both"/>
              <w:rPr>
                <w:rFonts w:ascii="Times New Roman" w:hAnsi="Times New Roman"/>
                <w:sz w:val="20"/>
                <w:szCs w:val="20"/>
              </w:rPr>
            </w:pPr>
            <w:r>
              <w:rPr>
                <w:rFonts w:ascii="Times New Roman" w:hAnsi="Times New Roman"/>
                <w:sz w:val="20"/>
                <w:szCs w:val="20"/>
              </w:rPr>
              <w:t xml:space="preserve">Nwankwo, I. (2019). Cyber Fraud Prevention in the Banking Industry: A Case Study of Nigerian Banks. </w:t>
            </w:r>
            <w:r>
              <w:rPr>
                <w:rStyle w:val="Emphasis"/>
                <w:rFonts w:ascii="Times New Roman" w:hAnsi="Times New Roman"/>
                <w:sz w:val="20"/>
                <w:szCs w:val="20"/>
              </w:rPr>
              <w:t>Journal of Internet Banking and Commerce, 24</w:t>
            </w:r>
            <w:r>
              <w:rPr>
                <w:rFonts w:ascii="Times New Roman" w:hAnsi="Times New Roman"/>
                <w:sz w:val="20"/>
                <w:szCs w:val="20"/>
              </w:rPr>
              <w:t>(3).</w:t>
            </w:r>
          </w:p>
          <w:p w14:paraId="644AA16E" w14:textId="77777777" w:rsidR="00122AD4" w:rsidRDefault="00122AD4">
            <w:pPr>
              <w:pStyle w:val="NoSpacing"/>
              <w:jc w:val="both"/>
              <w:rPr>
                <w:rFonts w:ascii="Times New Roman" w:hAnsi="Times New Roman"/>
                <w:sz w:val="20"/>
                <w:szCs w:val="20"/>
              </w:rPr>
            </w:pPr>
          </w:p>
          <w:p w14:paraId="1E1FDAE5" w14:textId="77777777" w:rsidR="00122AD4" w:rsidRDefault="002531F9">
            <w:pPr>
              <w:pStyle w:val="NoSpacing"/>
              <w:jc w:val="both"/>
              <w:rPr>
                <w:rFonts w:ascii="Times New Roman" w:hAnsi="Times New Roman"/>
                <w:sz w:val="20"/>
                <w:szCs w:val="20"/>
              </w:rPr>
            </w:pPr>
            <w:r>
              <w:rPr>
                <w:rFonts w:ascii="Times New Roman" w:hAnsi="Times New Roman"/>
                <w:sz w:val="20"/>
                <w:szCs w:val="20"/>
              </w:rPr>
              <w:t>Hussain, F., &amp; Noman, M. (2019). Preventing Cyber Fraud in the Banking Sector: An Analysis of the Impact of Employee Training and Awareness Programs. *International Journal of Advanced Computer Science and Applications, 10*(3).</w:t>
            </w:r>
          </w:p>
          <w:p w14:paraId="471D462D" w14:textId="77777777" w:rsidR="00122AD4" w:rsidRDefault="00122AD4">
            <w:pPr>
              <w:pStyle w:val="NoSpacing"/>
              <w:jc w:val="both"/>
              <w:rPr>
                <w:rFonts w:ascii="Times New Roman" w:hAnsi="Times New Roman"/>
                <w:sz w:val="20"/>
                <w:szCs w:val="20"/>
              </w:rPr>
            </w:pPr>
          </w:p>
          <w:p w14:paraId="491A1506" w14:textId="77777777" w:rsidR="00122AD4" w:rsidRDefault="002531F9">
            <w:pPr>
              <w:pStyle w:val="NoSpacing"/>
              <w:jc w:val="both"/>
              <w:rPr>
                <w:rFonts w:ascii="Times New Roman" w:hAnsi="Times New Roman"/>
                <w:sz w:val="20"/>
                <w:szCs w:val="20"/>
              </w:rPr>
            </w:pPr>
            <w:r>
              <w:rPr>
                <w:rFonts w:ascii="Times New Roman" w:hAnsi="Times New Roman"/>
                <w:sz w:val="20"/>
                <w:szCs w:val="20"/>
              </w:rPr>
              <w:t>AlEmadi, N., &amp; Alghamdi, N. (2020). Preventing Cyber Fraud in the Banking Sector: A Comparative Study of the United States and Europe. *Journal of Internet Banking and Commerce, 25*(1).</w:t>
            </w:r>
          </w:p>
          <w:p w14:paraId="08A55782" w14:textId="77777777" w:rsidR="00122AD4" w:rsidRDefault="00122AD4">
            <w:pPr>
              <w:pStyle w:val="NoSpacing"/>
              <w:jc w:val="both"/>
              <w:rPr>
                <w:rFonts w:ascii="Times New Roman" w:hAnsi="Times New Roman"/>
                <w:sz w:val="20"/>
                <w:szCs w:val="20"/>
              </w:rPr>
            </w:pPr>
          </w:p>
          <w:p w14:paraId="4A1ABEEA" w14:textId="77777777" w:rsidR="00122AD4" w:rsidRDefault="002531F9">
            <w:pPr>
              <w:pStyle w:val="NoSpacing"/>
              <w:jc w:val="both"/>
              <w:rPr>
                <w:rFonts w:ascii="Times New Roman" w:hAnsi="Times New Roman"/>
                <w:sz w:val="20"/>
                <w:szCs w:val="20"/>
              </w:rPr>
            </w:pPr>
            <w:r>
              <w:rPr>
                <w:rFonts w:ascii="Times New Roman" w:hAnsi="Times New Roman"/>
                <w:sz w:val="20"/>
                <w:szCs w:val="20"/>
              </w:rPr>
              <w:t>Gupta, D., Bhatia, V., &amp; Aggarwal, S. (2021). Preventing Cyber Fraud in the Banking Sector: A Machine Learning Approach. *Journal of Financial Crime, 28*(2).</w:t>
            </w:r>
          </w:p>
          <w:p w14:paraId="7F1AE2AF" w14:textId="77777777" w:rsidR="00122AD4" w:rsidRDefault="00122AD4">
            <w:pPr>
              <w:pStyle w:val="NoSpacing"/>
              <w:jc w:val="both"/>
              <w:rPr>
                <w:rFonts w:ascii="Times New Roman" w:hAnsi="Times New Roman"/>
              </w:rPr>
            </w:pPr>
          </w:p>
          <w:p w14:paraId="45773EF2" w14:textId="77777777" w:rsidR="00122AD4" w:rsidRDefault="00122AD4">
            <w:pPr>
              <w:pStyle w:val="NoSpacing"/>
              <w:jc w:val="both"/>
              <w:rPr>
                <w:rFonts w:ascii="Times New Roman" w:hAnsi="Times New Roman"/>
                <w:sz w:val="20"/>
                <w:szCs w:val="20"/>
              </w:rPr>
            </w:pPr>
          </w:p>
        </w:tc>
        <w:tc>
          <w:tcPr>
            <w:tcW w:w="283" w:type="dxa"/>
            <w:tcBorders>
              <w:left w:val="nil"/>
            </w:tcBorders>
          </w:tcPr>
          <w:p w14:paraId="0AB6AEFF" w14:textId="77777777" w:rsidR="00122AD4" w:rsidRDefault="00122AD4">
            <w:pPr>
              <w:pStyle w:val="NoSpacing"/>
              <w:jc w:val="both"/>
              <w:rPr>
                <w:rFonts w:ascii="Times New Roman" w:hAnsi="Times New Roman"/>
                <w:sz w:val="20"/>
                <w:szCs w:val="20"/>
              </w:rPr>
            </w:pPr>
          </w:p>
        </w:tc>
      </w:tr>
    </w:tbl>
    <w:p w14:paraId="2561A803" w14:textId="77777777" w:rsidR="00122AD4" w:rsidRDefault="00122AD4">
      <w:pPr>
        <w:pStyle w:val="NoSpacing"/>
        <w:jc w:val="both"/>
        <w:rPr>
          <w:rFonts w:ascii="Times New Roman" w:hAnsi="Times New Roman"/>
          <w:sz w:val="20"/>
          <w:szCs w:val="20"/>
        </w:rPr>
      </w:pPr>
    </w:p>
    <w:p w14:paraId="2E7734C9" w14:textId="77777777" w:rsidR="00122AD4" w:rsidRDefault="00122AD4">
      <w:pPr>
        <w:rPr>
          <w:rFonts w:ascii="Times New Roman" w:hAnsi="Times New Roman"/>
        </w:rPr>
      </w:pPr>
    </w:p>
    <w:sectPr w:rsidR="00122AD4">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396F1" w14:textId="77777777" w:rsidR="00122AD4" w:rsidRDefault="002531F9">
      <w:pPr>
        <w:spacing w:line="240" w:lineRule="auto"/>
      </w:pPr>
      <w:r>
        <w:separator/>
      </w:r>
    </w:p>
  </w:endnote>
  <w:endnote w:type="continuationSeparator" w:id="0">
    <w:p w14:paraId="1EBBBBC0" w14:textId="77777777" w:rsidR="00122AD4" w:rsidRDefault="00253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Quattrocento Sans">
    <w:altName w:val="Segoe Print"/>
    <w:charset w:val="00"/>
    <w:family w:val="swiss"/>
    <w:pitch w:val="default"/>
    <w:sig w:usb0="00000000"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9A4F4" w14:textId="77777777" w:rsidR="00122AD4" w:rsidRDefault="002531F9">
    <w:pPr>
      <w:pStyle w:val="Footer"/>
      <w:pBdr>
        <w:top w:val="single" w:sz="8" w:space="1" w:color="auto"/>
      </w:pBdr>
      <w:tabs>
        <w:tab w:val="right" w:pos="10467"/>
      </w:tabs>
      <w:ind w:firstLineChars="2600" w:firstLine="5220"/>
      <w:rPr>
        <w:rFonts w:ascii="Cambria" w:hAnsi="Cambria"/>
        <w:b/>
        <w:bCs/>
      </w:rPr>
    </w:pPr>
    <w:r>
      <w:rPr>
        <w:b/>
        <w:bCs/>
        <w:noProof/>
      </w:rPr>
      <mc:AlternateContent>
        <mc:Choice Requires="wps">
          <w:drawing>
            <wp:anchor distT="0" distB="0" distL="114300" distR="114300" simplePos="0" relativeHeight="251660288" behindDoc="0" locked="0" layoutInCell="1" allowOverlap="1" wp14:anchorId="0E9960EF" wp14:editId="2D286666">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ED2C07" w14:textId="77777777" w:rsidR="00122AD4" w:rsidRDefault="002531F9">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Pr>
        <w:rFonts w:ascii="Cambria" w:hAnsi="Cambria"/>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0E6D6" w14:textId="77777777" w:rsidR="00122AD4" w:rsidRDefault="002531F9">
      <w:pPr>
        <w:spacing w:after="0"/>
      </w:pPr>
      <w:r>
        <w:separator/>
      </w:r>
    </w:p>
  </w:footnote>
  <w:footnote w:type="continuationSeparator" w:id="0">
    <w:p w14:paraId="0F76E2D2" w14:textId="77777777" w:rsidR="00122AD4" w:rsidRDefault="002531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74065" w14:textId="77777777" w:rsidR="00122AD4" w:rsidRDefault="002531F9">
    <w:pPr>
      <w:pStyle w:val="Header"/>
      <w:spacing w:after="120"/>
      <w:rPr>
        <w:rFonts w:asciiTheme="majorHAnsi" w:hAnsiTheme="majorHAnsi"/>
        <w:b/>
        <w:sz w:val="16"/>
        <w:szCs w:val="16"/>
      </w:rPr>
    </w:pPr>
    <w:bookmarkStart w:id="0" w:name="_Hlk124759329"/>
    <w:bookmarkStart w:id="1" w:name="_Hlk124759170"/>
    <w:bookmarkStart w:id="2" w:name="_Hlk124759328"/>
    <w:bookmarkStart w:id="3" w:name="_Hlk124759171"/>
    <w:r>
      <w:rPr>
        <w:rFonts w:asciiTheme="majorHAnsi" w:hAnsiTheme="majorHAnsi"/>
        <w:sz w:val="16"/>
        <w:szCs w:val="16"/>
      </w:rPr>
      <w:t xml:space="preserve">                    </w:t>
    </w:r>
    <w:r>
      <w:rPr>
        <w:rFonts w:asciiTheme="majorHAnsi" w:hAnsiTheme="majorHAnsi"/>
        <w:sz w:val="16"/>
        <w:szCs w:val="16"/>
      </w:rPr>
      <w:tab/>
    </w:r>
    <w:r>
      <w:rPr>
        <w:rFonts w:asciiTheme="majorHAnsi" w:hAnsiTheme="majorHAnsi"/>
      </w:rPr>
      <w:t xml:space="preserve">         </w:t>
    </w:r>
    <w:r>
      <w:rPr>
        <w:rFonts w:asciiTheme="majorHAnsi" w:hAnsiTheme="majorHAnsi"/>
        <w:sz w:val="16"/>
        <w:szCs w:val="16"/>
      </w:rPr>
      <w:t xml:space="preserve">  </w:t>
    </w:r>
    <w:r>
      <w:rPr>
        <w:rFonts w:asciiTheme="majorHAnsi" w:hAnsiTheme="majorHAnsi"/>
        <w:b/>
        <w:noProof/>
        <w:sz w:val="16"/>
        <w:szCs w:val="16"/>
      </w:rPr>
      <mc:AlternateContent>
        <mc:Choice Requires="wps">
          <w:drawing>
            <wp:anchor distT="0" distB="0" distL="114300" distR="114300" simplePos="0" relativeHeight="251659264" behindDoc="0" locked="0" layoutInCell="1" allowOverlap="1" wp14:anchorId="231B4224" wp14:editId="67C513E7">
              <wp:simplePos x="0" y="0"/>
              <wp:positionH relativeFrom="column">
                <wp:posOffset>-28575</wp:posOffset>
              </wp:positionH>
              <wp:positionV relativeFrom="paragraph">
                <wp:posOffset>20955</wp:posOffset>
              </wp:positionV>
              <wp:extent cx="6685280" cy="0"/>
              <wp:effectExtent l="9525" t="11430" r="10795" b="7620"/>
              <wp:wrapNone/>
              <wp:docPr id="13849746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ln>
                    </wps:spPr>
                    <wps:bodyPr/>
                  </wps:wsp>
                </a:graphicData>
              </a:graphic>
            </wp:anchor>
          </w:drawing>
        </mc:Choice>
        <mc:Fallback xmlns:wpsCustomData="http://www.wps.cn/officeDocument/2013/wpsCustomData">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2YIGu0wAAAAcBAAAPAAAAAAAA&#10;AAEAIAAAACIAAABkcnMvZG93bnJldi54bWxQSwECFAAUAAAACACHTuJAHFfEC94BAAC6AwAADgAA&#10;AAAAAAABACAAAAAiAQAAZHJzL2Uyb0RvYy54bWxQSwUGAAAAAAYABgBZAQAAcgUAAAAA&#10;">
              <v:fill on="f" focussize="0,0"/>
              <v:stroke color="#808080" joinstyle="round"/>
              <v:imagedata o:title=""/>
              <o:lock v:ext="edit" aspectratio="f"/>
            </v:shape>
          </w:pict>
        </mc:Fallback>
      </mc:AlternateConten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CF"/>
    <w:rsid w:val="00004E4B"/>
    <w:rsid w:val="000110C5"/>
    <w:rsid w:val="000247DD"/>
    <w:rsid w:val="00027AA3"/>
    <w:rsid w:val="00036151"/>
    <w:rsid w:val="0003681B"/>
    <w:rsid w:val="000407A4"/>
    <w:rsid w:val="00045844"/>
    <w:rsid w:val="00050C35"/>
    <w:rsid w:val="000529F2"/>
    <w:rsid w:val="00052F95"/>
    <w:rsid w:val="0005584A"/>
    <w:rsid w:val="0007109D"/>
    <w:rsid w:val="00073800"/>
    <w:rsid w:val="00085AF7"/>
    <w:rsid w:val="00090016"/>
    <w:rsid w:val="0009007E"/>
    <w:rsid w:val="00093FCC"/>
    <w:rsid w:val="000A0414"/>
    <w:rsid w:val="000A150E"/>
    <w:rsid w:val="000B0280"/>
    <w:rsid w:val="000B68C9"/>
    <w:rsid w:val="000B6AFB"/>
    <w:rsid w:val="000D0178"/>
    <w:rsid w:val="000E1E6A"/>
    <w:rsid w:val="000E26D2"/>
    <w:rsid w:val="000E2D52"/>
    <w:rsid w:val="000E2ED3"/>
    <w:rsid w:val="000F29B0"/>
    <w:rsid w:val="000F2AEC"/>
    <w:rsid w:val="001022FC"/>
    <w:rsid w:val="00102A90"/>
    <w:rsid w:val="001039B4"/>
    <w:rsid w:val="00106C67"/>
    <w:rsid w:val="00110A24"/>
    <w:rsid w:val="001125B5"/>
    <w:rsid w:val="00122AD4"/>
    <w:rsid w:val="00123B0F"/>
    <w:rsid w:val="0012406C"/>
    <w:rsid w:val="001246A7"/>
    <w:rsid w:val="00126823"/>
    <w:rsid w:val="0013083A"/>
    <w:rsid w:val="0013798E"/>
    <w:rsid w:val="001404AC"/>
    <w:rsid w:val="00145CF0"/>
    <w:rsid w:val="001516D3"/>
    <w:rsid w:val="00152108"/>
    <w:rsid w:val="001563B0"/>
    <w:rsid w:val="00157D50"/>
    <w:rsid w:val="00170101"/>
    <w:rsid w:val="00173ECF"/>
    <w:rsid w:val="001741FC"/>
    <w:rsid w:val="00174EFB"/>
    <w:rsid w:val="001818D5"/>
    <w:rsid w:val="001855E0"/>
    <w:rsid w:val="0019496E"/>
    <w:rsid w:val="001B1291"/>
    <w:rsid w:val="001C244E"/>
    <w:rsid w:val="001C66C3"/>
    <w:rsid w:val="001C66FD"/>
    <w:rsid w:val="001D1154"/>
    <w:rsid w:val="001D6B3C"/>
    <w:rsid w:val="001E0EAE"/>
    <w:rsid w:val="001E4016"/>
    <w:rsid w:val="001E68B8"/>
    <w:rsid w:val="0021180C"/>
    <w:rsid w:val="00211C24"/>
    <w:rsid w:val="00217047"/>
    <w:rsid w:val="00221A19"/>
    <w:rsid w:val="00224B4C"/>
    <w:rsid w:val="0022669E"/>
    <w:rsid w:val="002401E9"/>
    <w:rsid w:val="002407B7"/>
    <w:rsid w:val="0024621A"/>
    <w:rsid w:val="00250403"/>
    <w:rsid w:val="00251A0A"/>
    <w:rsid w:val="002531F9"/>
    <w:rsid w:val="002565F9"/>
    <w:rsid w:val="002567EB"/>
    <w:rsid w:val="00263B1A"/>
    <w:rsid w:val="00274F68"/>
    <w:rsid w:val="0029056F"/>
    <w:rsid w:val="0029214C"/>
    <w:rsid w:val="002A197F"/>
    <w:rsid w:val="002A344D"/>
    <w:rsid w:val="002A76EB"/>
    <w:rsid w:val="002D766A"/>
    <w:rsid w:val="002E2566"/>
    <w:rsid w:val="002E6509"/>
    <w:rsid w:val="002F5D6F"/>
    <w:rsid w:val="002F6390"/>
    <w:rsid w:val="002F65F2"/>
    <w:rsid w:val="003051B6"/>
    <w:rsid w:val="00314D84"/>
    <w:rsid w:val="003152E9"/>
    <w:rsid w:val="00316116"/>
    <w:rsid w:val="0032119D"/>
    <w:rsid w:val="003258AF"/>
    <w:rsid w:val="00326455"/>
    <w:rsid w:val="00336FB3"/>
    <w:rsid w:val="00343E0D"/>
    <w:rsid w:val="003458B7"/>
    <w:rsid w:val="0035022E"/>
    <w:rsid w:val="00354E3E"/>
    <w:rsid w:val="00360314"/>
    <w:rsid w:val="00361F49"/>
    <w:rsid w:val="003628C4"/>
    <w:rsid w:val="00362DBB"/>
    <w:rsid w:val="003631F3"/>
    <w:rsid w:val="00363552"/>
    <w:rsid w:val="00364334"/>
    <w:rsid w:val="0036672E"/>
    <w:rsid w:val="0037013A"/>
    <w:rsid w:val="00377C81"/>
    <w:rsid w:val="00382148"/>
    <w:rsid w:val="00382382"/>
    <w:rsid w:val="00395E72"/>
    <w:rsid w:val="00397C33"/>
    <w:rsid w:val="003B230E"/>
    <w:rsid w:val="003B303F"/>
    <w:rsid w:val="003B39B4"/>
    <w:rsid w:val="003B52DF"/>
    <w:rsid w:val="003B718A"/>
    <w:rsid w:val="003D14E0"/>
    <w:rsid w:val="003D4D24"/>
    <w:rsid w:val="003E6A75"/>
    <w:rsid w:val="003F6834"/>
    <w:rsid w:val="003F6A0D"/>
    <w:rsid w:val="0040654A"/>
    <w:rsid w:val="00413860"/>
    <w:rsid w:val="004212B3"/>
    <w:rsid w:val="004250C8"/>
    <w:rsid w:val="00427E4D"/>
    <w:rsid w:val="00431D6C"/>
    <w:rsid w:val="00432F05"/>
    <w:rsid w:val="004348DB"/>
    <w:rsid w:val="00435E2D"/>
    <w:rsid w:val="004448A3"/>
    <w:rsid w:val="00445BD3"/>
    <w:rsid w:val="00451E80"/>
    <w:rsid w:val="0047117E"/>
    <w:rsid w:val="00480963"/>
    <w:rsid w:val="004875C5"/>
    <w:rsid w:val="004931A5"/>
    <w:rsid w:val="004A02A3"/>
    <w:rsid w:val="004A5021"/>
    <w:rsid w:val="004A5482"/>
    <w:rsid w:val="004B3C3C"/>
    <w:rsid w:val="004C0C4E"/>
    <w:rsid w:val="004C5395"/>
    <w:rsid w:val="004C57CF"/>
    <w:rsid w:val="004D1EA9"/>
    <w:rsid w:val="004F5C64"/>
    <w:rsid w:val="005028EE"/>
    <w:rsid w:val="00504103"/>
    <w:rsid w:val="00515991"/>
    <w:rsid w:val="00516492"/>
    <w:rsid w:val="00516650"/>
    <w:rsid w:val="00517C59"/>
    <w:rsid w:val="005226D1"/>
    <w:rsid w:val="00523893"/>
    <w:rsid w:val="00525CDB"/>
    <w:rsid w:val="005375AA"/>
    <w:rsid w:val="00541FAA"/>
    <w:rsid w:val="00543A00"/>
    <w:rsid w:val="00546B6F"/>
    <w:rsid w:val="00554170"/>
    <w:rsid w:val="00567940"/>
    <w:rsid w:val="00570608"/>
    <w:rsid w:val="00575BE2"/>
    <w:rsid w:val="00576BCD"/>
    <w:rsid w:val="005773BF"/>
    <w:rsid w:val="0058765D"/>
    <w:rsid w:val="00590459"/>
    <w:rsid w:val="00594609"/>
    <w:rsid w:val="005B2DCE"/>
    <w:rsid w:val="005B3870"/>
    <w:rsid w:val="005C45CF"/>
    <w:rsid w:val="005C7F27"/>
    <w:rsid w:val="005D0D84"/>
    <w:rsid w:val="005D332C"/>
    <w:rsid w:val="005F1EA0"/>
    <w:rsid w:val="005F2CF9"/>
    <w:rsid w:val="005F3359"/>
    <w:rsid w:val="005F45A6"/>
    <w:rsid w:val="00613B0C"/>
    <w:rsid w:val="00615581"/>
    <w:rsid w:val="00620BE1"/>
    <w:rsid w:val="006226A2"/>
    <w:rsid w:val="00623CED"/>
    <w:rsid w:val="0062579B"/>
    <w:rsid w:val="00631CE1"/>
    <w:rsid w:val="006351BC"/>
    <w:rsid w:val="00635DFF"/>
    <w:rsid w:val="00641563"/>
    <w:rsid w:val="00643DDF"/>
    <w:rsid w:val="0066236A"/>
    <w:rsid w:val="006633B2"/>
    <w:rsid w:val="00670C35"/>
    <w:rsid w:val="006743C0"/>
    <w:rsid w:val="00680134"/>
    <w:rsid w:val="00681EF6"/>
    <w:rsid w:val="00687910"/>
    <w:rsid w:val="00687A64"/>
    <w:rsid w:val="006979CE"/>
    <w:rsid w:val="006A465C"/>
    <w:rsid w:val="006A7018"/>
    <w:rsid w:val="006B5879"/>
    <w:rsid w:val="006C2651"/>
    <w:rsid w:val="006D3872"/>
    <w:rsid w:val="006D6DEA"/>
    <w:rsid w:val="006E1AB4"/>
    <w:rsid w:val="006E3AB8"/>
    <w:rsid w:val="006F0D5D"/>
    <w:rsid w:val="006F1C59"/>
    <w:rsid w:val="006F5724"/>
    <w:rsid w:val="007068FA"/>
    <w:rsid w:val="00715354"/>
    <w:rsid w:val="00717FA9"/>
    <w:rsid w:val="007205D4"/>
    <w:rsid w:val="00725249"/>
    <w:rsid w:val="00735FF7"/>
    <w:rsid w:val="00745BA9"/>
    <w:rsid w:val="00764CD0"/>
    <w:rsid w:val="007721E4"/>
    <w:rsid w:val="00780BD1"/>
    <w:rsid w:val="00780D2F"/>
    <w:rsid w:val="00791716"/>
    <w:rsid w:val="00793364"/>
    <w:rsid w:val="007A3591"/>
    <w:rsid w:val="007B1FF0"/>
    <w:rsid w:val="007B61CC"/>
    <w:rsid w:val="007C5603"/>
    <w:rsid w:val="007C6E1E"/>
    <w:rsid w:val="007D2E33"/>
    <w:rsid w:val="007D3AD2"/>
    <w:rsid w:val="007D4428"/>
    <w:rsid w:val="007E1ECE"/>
    <w:rsid w:val="007E2A78"/>
    <w:rsid w:val="007E4EE3"/>
    <w:rsid w:val="007E50FE"/>
    <w:rsid w:val="007E5427"/>
    <w:rsid w:val="007E7AB0"/>
    <w:rsid w:val="0080167A"/>
    <w:rsid w:val="00804445"/>
    <w:rsid w:val="00813C27"/>
    <w:rsid w:val="00816D81"/>
    <w:rsid w:val="008244DA"/>
    <w:rsid w:val="00834908"/>
    <w:rsid w:val="008518EC"/>
    <w:rsid w:val="00851C04"/>
    <w:rsid w:val="0085266F"/>
    <w:rsid w:val="00855C95"/>
    <w:rsid w:val="008625F5"/>
    <w:rsid w:val="008706E2"/>
    <w:rsid w:val="00871752"/>
    <w:rsid w:val="00880B9C"/>
    <w:rsid w:val="00881B60"/>
    <w:rsid w:val="00884143"/>
    <w:rsid w:val="0088628E"/>
    <w:rsid w:val="0089006A"/>
    <w:rsid w:val="00897F5D"/>
    <w:rsid w:val="008A34A7"/>
    <w:rsid w:val="008B0ABD"/>
    <w:rsid w:val="008B2A3E"/>
    <w:rsid w:val="008B4609"/>
    <w:rsid w:val="008C1D08"/>
    <w:rsid w:val="008C2592"/>
    <w:rsid w:val="008C6BCE"/>
    <w:rsid w:val="008D0B42"/>
    <w:rsid w:val="008E2ECE"/>
    <w:rsid w:val="008E43FA"/>
    <w:rsid w:val="008F1D5E"/>
    <w:rsid w:val="00904376"/>
    <w:rsid w:val="00912A19"/>
    <w:rsid w:val="00912B5F"/>
    <w:rsid w:val="00925CF8"/>
    <w:rsid w:val="00926834"/>
    <w:rsid w:val="00934C2D"/>
    <w:rsid w:val="00937429"/>
    <w:rsid w:val="0094074D"/>
    <w:rsid w:val="009477EE"/>
    <w:rsid w:val="00955BE3"/>
    <w:rsid w:val="00957923"/>
    <w:rsid w:val="00964332"/>
    <w:rsid w:val="0096571F"/>
    <w:rsid w:val="009672ED"/>
    <w:rsid w:val="00970F64"/>
    <w:rsid w:val="00971BEC"/>
    <w:rsid w:val="00984208"/>
    <w:rsid w:val="00991285"/>
    <w:rsid w:val="00992201"/>
    <w:rsid w:val="0099730B"/>
    <w:rsid w:val="009A5B9F"/>
    <w:rsid w:val="009B4922"/>
    <w:rsid w:val="009E0882"/>
    <w:rsid w:val="009E38B8"/>
    <w:rsid w:val="009E5284"/>
    <w:rsid w:val="009F35C1"/>
    <w:rsid w:val="009F6F31"/>
    <w:rsid w:val="00A00FF8"/>
    <w:rsid w:val="00A041F7"/>
    <w:rsid w:val="00A04BE7"/>
    <w:rsid w:val="00A137F4"/>
    <w:rsid w:val="00A13A5A"/>
    <w:rsid w:val="00A14979"/>
    <w:rsid w:val="00A152B1"/>
    <w:rsid w:val="00A276D7"/>
    <w:rsid w:val="00A30047"/>
    <w:rsid w:val="00A33491"/>
    <w:rsid w:val="00A4786F"/>
    <w:rsid w:val="00A50263"/>
    <w:rsid w:val="00A5276D"/>
    <w:rsid w:val="00A73F21"/>
    <w:rsid w:val="00A74A48"/>
    <w:rsid w:val="00A75EF0"/>
    <w:rsid w:val="00A76CB8"/>
    <w:rsid w:val="00A802E3"/>
    <w:rsid w:val="00A84724"/>
    <w:rsid w:val="00A854D1"/>
    <w:rsid w:val="00A941CD"/>
    <w:rsid w:val="00A94776"/>
    <w:rsid w:val="00AA0B65"/>
    <w:rsid w:val="00AA2273"/>
    <w:rsid w:val="00AA5860"/>
    <w:rsid w:val="00AA6A78"/>
    <w:rsid w:val="00AB31A1"/>
    <w:rsid w:val="00AC6A5F"/>
    <w:rsid w:val="00AD0D91"/>
    <w:rsid w:val="00AD1E80"/>
    <w:rsid w:val="00AD33CF"/>
    <w:rsid w:val="00AD6E6E"/>
    <w:rsid w:val="00AE3053"/>
    <w:rsid w:val="00AE39D1"/>
    <w:rsid w:val="00AE734B"/>
    <w:rsid w:val="00AF5BE3"/>
    <w:rsid w:val="00B007C9"/>
    <w:rsid w:val="00B0421C"/>
    <w:rsid w:val="00B076F8"/>
    <w:rsid w:val="00B13D1B"/>
    <w:rsid w:val="00B2045E"/>
    <w:rsid w:val="00B354F8"/>
    <w:rsid w:val="00B402E7"/>
    <w:rsid w:val="00B44C63"/>
    <w:rsid w:val="00B46176"/>
    <w:rsid w:val="00B473C4"/>
    <w:rsid w:val="00B51BA1"/>
    <w:rsid w:val="00B567C4"/>
    <w:rsid w:val="00B72163"/>
    <w:rsid w:val="00B838DD"/>
    <w:rsid w:val="00B90EF3"/>
    <w:rsid w:val="00B96CD3"/>
    <w:rsid w:val="00BB33C3"/>
    <w:rsid w:val="00BB4053"/>
    <w:rsid w:val="00BB43BF"/>
    <w:rsid w:val="00BC22CA"/>
    <w:rsid w:val="00BC400A"/>
    <w:rsid w:val="00BD3158"/>
    <w:rsid w:val="00BD7259"/>
    <w:rsid w:val="00BE09BE"/>
    <w:rsid w:val="00BE1808"/>
    <w:rsid w:val="00BF2411"/>
    <w:rsid w:val="00C03E32"/>
    <w:rsid w:val="00C04DBD"/>
    <w:rsid w:val="00C056A9"/>
    <w:rsid w:val="00C1024E"/>
    <w:rsid w:val="00C17C3F"/>
    <w:rsid w:val="00C24056"/>
    <w:rsid w:val="00C357F2"/>
    <w:rsid w:val="00C35BD2"/>
    <w:rsid w:val="00C37015"/>
    <w:rsid w:val="00C479B1"/>
    <w:rsid w:val="00C57087"/>
    <w:rsid w:val="00C64E85"/>
    <w:rsid w:val="00C73309"/>
    <w:rsid w:val="00C7601A"/>
    <w:rsid w:val="00C77DB3"/>
    <w:rsid w:val="00C80376"/>
    <w:rsid w:val="00C86411"/>
    <w:rsid w:val="00C86AE0"/>
    <w:rsid w:val="00C872FD"/>
    <w:rsid w:val="00C90E62"/>
    <w:rsid w:val="00CA4A19"/>
    <w:rsid w:val="00CB1738"/>
    <w:rsid w:val="00CB73FB"/>
    <w:rsid w:val="00CC6310"/>
    <w:rsid w:val="00CE05B7"/>
    <w:rsid w:val="00CE5501"/>
    <w:rsid w:val="00CE5FF1"/>
    <w:rsid w:val="00CF1E27"/>
    <w:rsid w:val="00CF77BF"/>
    <w:rsid w:val="00D21294"/>
    <w:rsid w:val="00D259F5"/>
    <w:rsid w:val="00D269AF"/>
    <w:rsid w:val="00D34280"/>
    <w:rsid w:val="00D505A8"/>
    <w:rsid w:val="00D6033B"/>
    <w:rsid w:val="00D64B96"/>
    <w:rsid w:val="00D74055"/>
    <w:rsid w:val="00D74C7A"/>
    <w:rsid w:val="00D76B9C"/>
    <w:rsid w:val="00D80B28"/>
    <w:rsid w:val="00D874B6"/>
    <w:rsid w:val="00D915E0"/>
    <w:rsid w:val="00D927B9"/>
    <w:rsid w:val="00D92D04"/>
    <w:rsid w:val="00D9723E"/>
    <w:rsid w:val="00DB46CA"/>
    <w:rsid w:val="00DB614B"/>
    <w:rsid w:val="00DB682D"/>
    <w:rsid w:val="00DC083C"/>
    <w:rsid w:val="00DE4362"/>
    <w:rsid w:val="00DE47DF"/>
    <w:rsid w:val="00DE5E52"/>
    <w:rsid w:val="00DF52EC"/>
    <w:rsid w:val="00E03FC8"/>
    <w:rsid w:val="00E109BC"/>
    <w:rsid w:val="00E1428D"/>
    <w:rsid w:val="00E14F69"/>
    <w:rsid w:val="00E2214E"/>
    <w:rsid w:val="00E2598A"/>
    <w:rsid w:val="00E30FBF"/>
    <w:rsid w:val="00E328D9"/>
    <w:rsid w:val="00E35ACF"/>
    <w:rsid w:val="00E43104"/>
    <w:rsid w:val="00E43A4B"/>
    <w:rsid w:val="00E43FCD"/>
    <w:rsid w:val="00E55D26"/>
    <w:rsid w:val="00E60C9A"/>
    <w:rsid w:val="00E615CA"/>
    <w:rsid w:val="00E70DB1"/>
    <w:rsid w:val="00E74448"/>
    <w:rsid w:val="00E808E4"/>
    <w:rsid w:val="00E84F41"/>
    <w:rsid w:val="00E919BE"/>
    <w:rsid w:val="00E9504C"/>
    <w:rsid w:val="00E95130"/>
    <w:rsid w:val="00EA1B87"/>
    <w:rsid w:val="00EA60B8"/>
    <w:rsid w:val="00EA6992"/>
    <w:rsid w:val="00EA7B4E"/>
    <w:rsid w:val="00EB0E63"/>
    <w:rsid w:val="00EC5811"/>
    <w:rsid w:val="00EC7C10"/>
    <w:rsid w:val="00ED48B3"/>
    <w:rsid w:val="00ED78F5"/>
    <w:rsid w:val="00EE186F"/>
    <w:rsid w:val="00EE7B8D"/>
    <w:rsid w:val="00EF36CF"/>
    <w:rsid w:val="00EF41F7"/>
    <w:rsid w:val="00EF4A54"/>
    <w:rsid w:val="00F147C1"/>
    <w:rsid w:val="00F24960"/>
    <w:rsid w:val="00F249EF"/>
    <w:rsid w:val="00F257F2"/>
    <w:rsid w:val="00F27476"/>
    <w:rsid w:val="00F311A0"/>
    <w:rsid w:val="00F4089E"/>
    <w:rsid w:val="00F70139"/>
    <w:rsid w:val="00F72165"/>
    <w:rsid w:val="00F72BB4"/>
    <w:rsid w:val="00F877D4"/>
    <w:rsid w:val="00F9691F"/>
    <w:rsid w:val="00FA06CD"/>
    <w:rsid w:val="00FA4F0A"/>
    <w:rsid w:val="00FA6CC8"/>
    <w:rsid w:val="00FA7509"/>
    <w:rsid w:val="00FB329B"/>
    <w:rsid w:val="00FC142C"/>
    <w:rsid w:val="00FC3C04"/>
    <w:rsid w:val="00FC6A19"/>
    <w:rsid w:val="00FD2093"/>
    <w:rsid w:val="00FD71E1"/>
    <w:rsid w:val="00FE1108"/>
    <w:rsid w:val="00FE1782"/>
    <w:rsid w:val="00FE7BA8"/>
    <w:rsid w:val="00FF1E84"/>
    <w:rsid w:val="00FF2958"/>
    <w:rsid w:val="00FF5746"/>
    <w:rsid w:val="3885790D"/>
    <w:rsid w:val="53451059"/>
    <w:rsid w:val="5A75160B"/>
    <w:rsid w:val="6BDC5D80"/>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F7F5"/>
  <w15:docId w15:val="{A6FC87B1-D864-4523-9DB7-FD336776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eastAsia="Calibri"/>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Calibri"/>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Cambria" w:hAnsi="Cambria"/>
      <w:i/>
      <w:iCs/>
      <w:color w:val="4F81BD"/>
      <w:spacing w:val="15"/>
      <w:sz w:val="24"/>
      <w:szCs w:val="24"/>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qFormat/>
    <w:rPr>
      <w:rFonts w:ascii="Calibri" w:eastAsia="Calibri" w:hAnsi="Calibri" w:cs="Times New Roman"/>
    </w:rPr>
  </w:style>
  <w:style w:type="character" w:customStyle="1" w:styleId="SubtitleChar">
    <w:name w:val="Subtitle Char"/>
    <w:link w:val="Subtitle"/>
    <w:uiPriority w:val="11"/>
    <w:qFormat/>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qFormat/>
    <w:rPr>
      <w:rFonts w:ascii="Cambria" w:eastAsia="Times New Roman" w:hAnsi="Cambria" w:cs="Times New Roman"/>
      <w:b/>
      <w:bCs/>
      <w:kern w:val="32"/>
      <w:sz w:val="32"/>
      <w:szCs w:val="32"/>
    </w:rPr>
  </w:style>
  <w:style w:type="character" w:customStyle="1" w:styleId="IEEEParagraphChar">
    <w:name w:val="IEEE Paragraph Char"/>
    <w:link w:val="IEEEParagraph"/>
    <w:qFormat/>
    <w:rPr>
      <w:rFonts w:ascii="Times New Roman" w:eastAsia="SimSun" w:hAnsi="Times New Roman"/>
      <w:szCs w:val="24"/>
      <w:lang w:val="en-AU" w:eastAsia="zh-CN"/>
    </w:rPr>
  </w:style>
  <w:style w:type="paragraph" w:customStyle="1" w:styleId="IEEEParagraph">
    <w:name w:val="IEEE Paragraph"/>
    <w:basedOn w:val="Normal"/>
    <w:link w:val="IEEEParagraphChar"/>
    <w:qFormat/>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Heading3Char">
    <w:name w:val="Heading 3 Char"/>
    <w:link w:val="Heading3"/>
    <w:qFormat/>
    <w:rPr>
      <w:rFonts w:ascii="Arial" w:eastAsia="SimSun" w:hAnsi="Arial"/>
      <w:b/>
      <w:bCs/>
      <w:sz w:val="26"/>
      <w:szCs w:val="26"/>
      <w:lang w:val="en-AU" w:eastAsia="zh-CN"/>
    </w:rPr>
  </w:style>
  <w:style w:type="character" w:customStyle="1" w:styleId="IntenseEmphasis1">
    <w:name w:val="Intense Emphasis1"/>
    <w:uiPriority w:val="21"/>
    <w:qFormat/>
    <w:rPr>
      <w:b/>
      <w:bCs/>
      <w:i/>
      <w:iCs/>
      <w:color w:val="4F81BD"/>
    </w:rPr>
  </w:style>
  <w:style w:type="character" w:customStyle="1" w:styleId="FooterChar">
    <w:name w:val="Footer Char"/>
    <w:link w:val="Footer"/>
    <w:uiPriority w:val="99"/>
    <w:qFormat/>
    <w:rPr>
      <w:rFonts w:ascii="Calibri" w:eastAsia="Calibri" w:hAnsi="Calibri" w:cs="Times New Roman"/>
    </w:rPr>
  </w:style>
  <w:style w:type="character" w:customStyle="1" w:styleId="Heading4Char">
    <w:name w:val="Heading 4 Char"/>
    <w:link w:val="Heading4"/>
    <w:uiPriority w:val="9"/>
    <w:qFormat/>
    <w:rPr>
      <w:rFonts w:ascii="Cambria" w:eastAsia="Times New Roman" w:hAnsi="Cambria" w:cs="Times New Roman"/>
      <w:b/>
      <w:bCs/>
      <w:i/>
      <w:iCs/>
      <w:color w:val="4F81BD"/>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Char">
    <w:name w:val="Body Text Char"/>
    <w:link w:val="BodyText"/>
    <w:uiPriority w:val="99"/>
    <w:qFormat/>
    <w:rPr>
      <w:rFonts w:ascii="Times New Roman" w:eastAsia="MS Mincho" w:hAnsi="Times New Roman"/>
      <w:spacing w:val="-1"/>
    </w:rPr>
  </w:style>
  <w:style w:type="character" w:customStyle="1" w:styleId="Heading2Char">
    <w:name w:val="Heading 2 Char"/>
    <w:link w:val="Heading2"/>
    <w:uiPriority w:val="9"/>
    <w:qFormat/>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qFormat/>
    <w:rPr>
      <w:rFonts w:ascii="Times New Roman" w:eastAsia="SimSun" w:hAnsi="Times New Roman"/>
      <w:b/>
      <w:bCs/>
      <w:i/>
      <w:iCs/>
      <w:color w:val="333333"/>
      <w:sz w:val="18"/>
      <w:szCs w:val="24"/>
      <w:lang w:val="en-GB" w:eastAsia="en-GB"/>
    </w:rPr>
  </w:style>
  <w:style w:type="paragraph" w:customStyle="1" w:styleId="StyleIJARCSAbstractItalic">
    <w:name w:val="Style IJARCS Abstract + Italic"/>
    <w:basedOn w:val="Normal"/>
    <w:link w:val="StyleIJARCSAbstractItalicChar"/>
    <w:qFormat/>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customStyle="1" w:styleId="references">
    <w:name w:val="references"/>
    <w:qFormat/>
    <w:pPr>
      <w:tabs>
        <w:tab w:val="left" w:pos="360"/>
      </w:tabs>
      <w:spacing w:after="60" w:line="200" w:lineRule="exact"/>
      <w:ind w:left="360" w:hanging="360"/>
      <w:jc w:val="both"/>
    </w:pPr>
    <w:rPr>
      <w:rFonts w:ascii="Times New Roman" w:eastAsia="MS Mincho" w:hAnsi="Times New Roman"/>
      <w:szCs w:val="16"/>
      <w:lang w:val="en-US" w:eastAsia="en-US"/>
    </w:rPr>
  </w:style>
  <w:style w:type="paragraph" w:styleId="NoSpacing">
    <w:name w:val="No Spacing"/>
    <w:uiPriority w:val="1"/>
    <w:qFormat/>
    <w:rPr>
      <w:rFonts w:eastAsia="Calibri"/>
      <w:sz w:val="22"/>
      <w:szCs w:val="22"/>
      <w:lang w:val="en-US" w:eastAsia="en-US"/>
    </w:rPr>
  </w:style>
  <w:style w:type="paragraph" w:customStyle="1" w:styleId="IEEEReferenceItem">
    <w:name w:val="IEEE Reference Item"/>
    <w:basedOn w:val="Normal"/>
    <w:qFormat/>
    <w:pPr>
      <w:tabs>
        <w:tab w:val="left"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qFormat/>
    <w:pPr>
      <w:spacing w:after="454"/>
      <w:ind w:left="1418"/>
      <w:jc w:val="both"/>
    </w:pPr>
    <w:rPr>
      <w:rFonts w:ascii="Times" w:hAnsi="Times"/>
      <w:color w:val="000000"/>
      <w:lang w:val="en-GB" w:eastAsia="en-US"/>
    </w:rPr>
  </w:style>
  <w:style w:type="paragraph" w:customStyle="1" w:styleId="IEEEAuthorAffiliation">
    <w:name w:val="IEEE Author Affiliation"/>
    <w:basedOn w:val="Normal"/>
    <w:next w:val="Normal"/>
    <w:qFormat/>
    <w:pPr>
      <w:spacing w:after="60" w:line="240" w:lineRule="auto"/>
      <w:jc w:val="center"/>
    </w:pPr>
    <w:rPr>
      <w:rFonts w:ascii="Times New Roman" w:hAnsi="Times New Roman"/>
      <w:i/>
      <w:sz w:val="20"/>
      <w:szCs w:val="24"/>
      <w:lang w:val="en-GB" w:eastAsia="en-GB"/>
    </w:rPr>
  </w:style>
  <w:style w:type="paragraph" w:customStyle="1" w:styleId="BodyTextIndented">
    <w:name w:val="Body Text Indented"/>
    <w:basedOn w:val="Normal"/>
    <w:link w:val="BodyTextIndentedChar"/>
    <w:qFormat/>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qFormat/>
    <w:rPr>
      <w:rFonts w:ascii="Times New Roman" w:hAnsi="Times New Roman"/>
      <w:sz w:val="24"/>
      <w:szCs w:val="24"/>
    </w:rPr>
  </w:style>
  <w:style w:type="paragraph" w:customStyle="1" w:styleId="p1a">
    <w:name w:val="p1a"/>
    <w:basedOn w:val="Normal"/>
    <w:next w:val="Normal"/>
    <w:link w:val="p1aZchn"/>
    <w:qFormat/>
    <w:pPr>
      <w:spacing w:after="0" w:line="240" w:lineRule="auto"/>
      <w:jc w:val="both"/>
    </w:pPr>
    <w:rPr>
      <w:rFonts w:ascii="Times" w:hAnsi="Times"/>
      <w:sz w:val="20"/>
      <w:szCs w:val="20"/>
      <w:lang w:eastAsia="de-DE"/>
    </w:rPr>
  </w:style>
  <w:style w:type="character" w:customStyle="1" w:styleId="p1aZchn">
    <w:name w:val="p1a Zchn"/>
    <w:basedOn w:val="DefaultParagraphFont"/>
    <w:link w:val="p1a"/>
    <w:qFormat/>
    <w:rPr>
      <w:rFonts w:ascii="Times" w:hAnsi="Times"/>
      <w:lang w:eastAsia="de-DE"/>
    </w:rPr>
  </w:style>
  <w:style w:type="paragraph" w:customStyle="1" w:styleId="reference">
    <w:name w:val="reference"/>
    <w:basedOn w:val="Normal"/>
    <w:qFormat/>
    <w:pPr>
      <w:spacing w:after="0" w:line="240" w:lineRule="auto"/>
      <w:ind w:left="227" w:hanging="227"/>
      <w:jc w:val="both"/>
    </w:pPr>
    <w:rPr>
      <w:rFonts w:ascii="Times" w:hAnsi="Times"/>
      <w:sz w:val="18"/>
      <w:szCs w:val="20"/>
      <w:lang w:eastAsia="de-D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0" w:line="240" w:lineRule="auto"/>
      <w:ind w:left="720"/>
      <w:contextualSpacing/>
      <w:jc w:val="center"/>
    </w:pPr>
    <w:rPr>
      <w:rFonts w:ascii="Times New Roman" w:eastAsia="SimSun" w:hAnsi="Times New Roman"/>
      <w:sz w:val="20"/>
      <w:szCs w:val="20"/>
    </w:rPr>
  </w:style>
  <w:style w:type="paragraph" w:customStyle="1" w:styleId="w3-small">
    <w:name w:val="w3-small"/>
    <w:basedOn w:val="Normal"/>
    <w:qFormat/>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aiyanaaliyar@gmail.com" TargetMode="External"/><Relationship Id="rId13" Type="http://schemas.openxmlformats.org/officeDocument/2006/relationships/hyperlink" Target="mailto:gobi.n@jainuniversity.ac.inl.m"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gsanjanavarma@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bhavana.sreekumar31@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rishnanh@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shmach.0239@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C9DFE54-79F1-48F7-AD6D-9B3060EBCED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3275</Words>
  <Characters>18669</Characters>
  <Application>Microsoft Office Word</Application>
  <DocSecurity>4</DocSecurity>
  <Lines>155</Lines>
  <Paragraphs>43</Paragraphs>
  <ScaleCrop>false</ScaleCrop>
  <Company>Windows User</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Raiyan Aaliyar</cp:lastModifiedBy>
  <cp:revision>2</cp:revision>
  <cp:lastPrinted>2023-01-16T05:19:00Z</cp:lastPrinted>
  <dcterms:created xsi:type="dcterms:W3CDTF">2024-03-07T07:23:00Z</dcterms:created>
  <dcterms:modified xsi:type="dcterms:W3CDTF">2024-03-07T07:23:00Z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930B0BDDCEED4FFF862AC5B28586B32A_12</vt:lpwstr>
  </property>
</Properties>
</file>