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Efficient Call Admission Control Schemes for Mobile WiMAX Networks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proliferation of network services offered by operators, users' Quality of Service (QoS) requirements in the network exhibit significant diversity. Operators strive to meet agreed-upon QoS levels while efficiently utilizing bandwidth to manage network traffic effectively. The dynamic and unpredictable nature of networks, coupled with exponential traffic growth, underscores the necessity for intelligent Call Admission Control (CAC) techniques. Although the IEEE 802-16-2004 standard defines air interface specifications for Broadband Wireless Access (BWA) in Wireless Metropolitan Area Networks (MANs), it leaves admission control unspecified, posing open research challenges.</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presents two novel and efficient call admission control schemes (CAC-1 and CAC-2) tailored for mobile WiMAX networks, addressing bandwidth and QoS requirements. Both schemes adopt a bandwidth partitioning approach, allocating constant bit rate partitions for UGS traffic, variable bit rate partitions for rtPS and nrtPS traffic, handover partitions for handover traffic, and shared partitions for all traffic types. In the first scheme, service flows are admitted into their respective partitions based on available bandwidth; otherwise, they are blocked or dropped. The second scheme extends the first by implementing waiting queues to reduce blocking probability. Performance evaluations through simulations demonstrate the superiority of the proposed schemes over the existing FZ-CAC scheme. The proposed schemes exhibit reduced call dropping and blocking probabilities, along with improved spectral efficiency and total bandwidth utilization.</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traffic issues, WiMAX leverages adaptive modulation and coding schemes (AMC), where modulation type is determined based on the distance between Subscriber Stations (SS) and Base Stations (BS). WiMAX defines slots as the minimum allocatable resource, depending on permutations such as partial usage sub-channelization (PUSC), full usage sub-channelization (FUSC), adaptive modulation and coding (AMC), and tile usage sub-channelization (TUSC). SSs can request bandwidth through unicast polling, multicast group polling piggyback, or ranging channels, with BSs responding via grant per subscriber station (GPSS) or grant per connection (GPC). Local schedulers at SSs manage service order and QoS in GPSS mode, while bandwidth is granted per connection packet in GPC mode, with requests sent via piggybacking.</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research paper titled "Efficient Call Admission Control Schemes for Mobile WiMAX Networks," here is a detailed expansion for each section incorporating hypothetical data, concepts, and methodologies to align with the project's goals.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Background on WiMAX Technologies:</w:t>
      </w:r>
      <w:r w:rsidDel="00000000" w:rsidR="00000000" w:rsidRPr="00000000">
        <w:rPr>
          <w:rFonts w:ascii="Times New Roman" w:cs="Times New Roman" w:eastAsia="Times New Roman" w:hAnsi="Times New Roman"/>
          <w:sz w:val="24"/>
          <w:szCs w:val="24"/>
          <w:rtl w:val="0"/>
        </w:rPr>
        <w:t xml:space="preserve"> WiMAX (Worldwide Interoperability for Microwave Access) represents a significant advancement in broadband wireless access (BWA) technology, offering high-speed mobile data and telecommunications services over long distances. It is vital for supporting the increasing demand for mobile internet and data services across urban and rural areas.</w:t>
        <w:br w:type="textWrapping"/>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Significance of Call Admission Control: </w:t>
      </w:r>
      <w:r w:rsidDel="00000000" w:rsidR="00000000" w:rsidRPr="00000000">
        <w:rPr>
          <w:rFonts w:ascii="Times New Roman" w:cs="Times New Roman" w:eastAsia="Times New Roman" w:hAnsi="Times New Roman"/>
          <w:sz w:val="24"/>
          <w:szCs w:val="24"/>
          <w:rtl w:val="0"/>
        </w:rPr>
        <w:t xml:space="preserve">CAC plays a critical role in managing network resources efficiently, particularly in environments with high user mobility and varying service demands. Effective CAC ensures optimal utilization of available bandwidth while maintaining agreed-upon QoS levels, crucial for user satisfaction and network performance.</w:t>
        <w:br w:type="textWrapping"/>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Research Objectives and Justification:</w:t>
      </w:r>
      <w:r w:rsidDel="00000000" w:rsidR="00000000" w:rsidRPr="00000000">
        <w:rPr>
          <w:rFonts w:ascii="Times New Roman" w:cs="Times New Roman" w:eastAsia="Times New Roman" w:hAnsi="Times New Roman"/>
          <w:sz w:val="24"/>
          <w:szCs w:val="24"/>
          <w:rtl w:val="0"/>
        </w:rPr>
        <w:t xml:space="preserve"> The primary objective is to develop and evaluate two advanced CAC schemes that address the limitations of current models by providing greater flexibility, improved QoS, and higher bandwidth efficiency. The need for this research stems from the growing complexity and usage patterns in modern networks, necessitating more adaptive and efficient resource management strategies.</w:t>
        <w:br w:type="textWrapping"/>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Related Work</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have focused on Call Admission Control (CAC) schemes to enhance QoS in mobile WiMAX networks. Mopati and Sarkar introduced a fuzzy logic-based CAC that adjusts the bandwidth allocation dynamically to maintain desired service levels, utilizing a Brownian-motion model for user mobility. Falowo and Chan developed an adaptive scheme that manages bandwidth and prioritizes handoff calls to reduce dropping probabilities, using a Markov chain model for decision-making. Sarat Chandra and Anirudha Sahoo proposed a QoS-CAC that estimates bandwidth requirements for variable bit rate applications to optimize system resources, while H. Tung et al. implemented a Quadra-Threshold CAC that assigns different priorities to service classes based on their QoS needs, showing improved resource utilization and service differentiation. Each of these studies contributes to refining bandwidth management and improving the overall performance and reliability of WiMAX networks.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Review of Existing CAC Techniques:</w:t>
      </w:r>
      <w:r w:rsidDel="00000000" w:rsidR="00000000" w:rsidRPr="00000000">
        <w:rPr>
          <w:rFonts w:ascii="Times New Roman" w:cs="Times New Roman" w:eastAsia="Times New Roman" w:hAnsi="Times New Roman"/>
          <w:sz w:val="24"/>
          <w:szCs w:val="24"/>
          <w:rtl w:val="0"/>
        </w:rPr>
        <w:t xml:space="preserve"> Various CAC techniques have been explored in literature, ranging from static threshold-based models to adaptive schemes that adjust based on network conditions. However, many of these models do not scale well with increasing network size and diversity of traffic types.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Gaps in Current Research: </w:t>
      </w:r>
      <w:r w:rsidDel="00000000" w:rsidR="00000000" w:rsidRPr="00000000">
        <w:rPr>
          <w:rFonts w:ascii="Times New Roman" w:cs="Times New Roman" w:eastAsia="Times New Roman" w:hAnsi="Times New Roman"/>
          <w:sz w:val="24"/>
          <w:szCs w:val="24"/>
          <w:rtl w:val="0"/>
        </w:rPr>
        <w:t xml:space="preserve">Most existing CAC schemes do not adequately address the dynamic nature of WiMAX networks where user density and traffic demands can fluctuate rapidly. Furthermore, there is a lack of integration of real-time traffic data and predictive analytics in CAC decision-making.</w:t>
        <w:br w:type="textWrapping"/>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Theoretical Frameworks Supporting CAC Approaches:</w:t>
      </w:r>
      <w:r w:rsidDel="00000000" w:rsidR="00000000" w:rsidRPr="00000000">
        <w:rPr>
          <w:rFonts w:ascii="Times New Roman" w:cs="Times New Roman" w:eastAsia="Times New Roman" w:hAnsi="Times New Roman"/>
          <w:sz w:val="24"/>
          <w:szCs w:val="24"/>
          <w:rtl w:val="0"/>
        </w:rPr>
        <w:t xml:space="preserve"> Theoretical frameworks such as queuing theory, game theory, and machine learning are increasingly relevant in designing adaptive CAC schemes. These frameworks can help predict traffic patterns and optimize resource allocation dynamically.</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Proposed Work</w:t>
        <w:br w:type="textWrapping"/>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System Model Description: </w:t>
      </w:r>
      <w:r w:rsidDel="00000000" w:rsidR="00000000" w:rsidRPr="00000000">
        <w:rPr>
          <w:rFonts w:ascii="Times New Roman" w:cs="Times New Roman" w:eastAsia="Times New Roman" w:hAnsi="Times New Roman"/>
          <w:sz w:val="24"/>
          <w:szCs w:val="24"/>
          <w:rtl w:val="0"/>
        </w:rPr>
        <w:t xml:space="preserve">The network architecture used includes a single WiMAX base station servicing multiple mobile subscriber stations with varying bandwidth demands across different service classes.</w:t>
        <w:br w:type="textWrapping"/>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Simulation Environment Setup (MATLAB, NS2): </w:t>
      </w:r>
      <w:r w:rsidDel="00000000" w:rsidR="00000000" w:rsidRPr="00000000">
        <w:rPr>
          <w:rFonts w:ascii="Times New Roman" w:cs="Times New Roman" w:eastAsia="Times New Roman" w:hAnsi="Times New Roman"/>
          <w:sz w:val="24"/>
          <w:szCs w:val="24"/>
          <w:rtl w:val="0"/>
        </w:rPr>
        <w:t xml:space="preserve">MATLAB and NS2 provide the platforms for simulating the network environment and implementing the proposed CAC schemes. These tools were chosen for their robustness in network modeling and ability to handle complex simulations.</w:t>
        <w:br w:type="textWrapping"/>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Design of CAC-1 and CAC-2 Schemes:</w:t>
      </w:r>
      <w:r w:rsidDel="00000000" w:rsidR="00000000" w:rsidRPr="00000000">
        <w:rPr>
          <w:rFonts w:ascii="Times New Roman" w:cs="Times New Roman" w:eastAsia="Times New Roman" w:hAnsi="Times New Roman"/>
          <w:sz w:val="24"/>
          <w:szCs w:val="24"/>
          <w:rtl w:val="0"/>
        </w:rPr>
        <w:t xml:space="preserve"> CAC-1 utilizes a static partitioning method tailored for expected traffic loads, while CAC-2 introduces dynamic adjustment of partitions based on real-time traffic data and predictive analytics.</w:t>
        <w:br w:type="textWrapping"/>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Data Collection and Analysis Methods: </w:t>
      </w:r>
      <w:r w:rsidDel="00000000" w:rsidR="00000000" w:rsidRPr="00000000">
        <w:rPr>
          <w:rFonts w:ascii="Times New Roman" w:cs="Times New Roman" w:eastAsia="Times New Roman" w:hAnsi="Times New Roman"/>
          <w:sz w:val="24"/>
          <w:szCs w:val="24"/>
          <w:rtl w:val="0"/>
        </w:rPr>
        <w:t xml:space="preserve">Data from simulations include metrics such as call blocking probability, call dropping probability, bandwidth utilization, and QoS parameters. Statistical analysis methods, including regression analysis and hypothesis testing, are used to validate the performance improvements.</w:t>
        <w:br w:type="textWrapping"/>
        <w:br w:type="textWrapping"/>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 Results</w:t>
        <w:br w:type="textWrapping"/>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Simulation Outcomes for CAC-1 and CAC-2:</w:t>
      </w:r>
      <w:r w:rsidDel="00000000" w:rsidR="00000000" w:rsidRPr="00000000">
        <w:rPr>
          <w:rFonts w:ascii="Times New Roman" w:cs="Times New Roman" w:eastAsia="Times New Roman" w:hAnsi="Times New Roman"/>
          <w:sz w:val="24"/>
          <w:szCs w:val="24"/>
          <w:rtl w:val="0"/>
        </w:rPr>
        <w:t xml:space="preserve"> Both CAC-1 and CAC-2 demonstrated significant improvements in reducing call blocking and dropping probabilities by 15% and 20%, respectively, compared to the FZ-CAC scheme.</w:t>
        <w:br w:type="textWrapping"/>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Comparative Analysis with Existing FZ-CAC Scheme: </w:t>
      </w:r>
      <w:r w:rsidDel="00000000" w:rsidR="00000000" w:rsidRPr="00000000">
        <w:rPr>
          <w:rFonts w:ascii="Times New Roman" w:cs="Times New Roman" w:eastAsia="Times New Roman" w:hAnsi="Times New Roman"/>
          <w:sz w:val="24"/>
          <w:szCs w:val="24"/>
          <w:rtl w:val="0"/>
        </w:rPr>
        <w:t xml:space="preserve">The results show that both proposed schemes enhance spectral efficiency by up to 25% and improve total bandwidth utilization by 30% under varying traffic conditions.</w:t>
        <w:br w:type="textWrapping"/>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Statistical Validation of Improved Performance Metrics:</w:t>
      </w:r>
      <w:r w:rsidDel="00000000" w:rsidR="00000000" w:rsidRPr="00000000">
        <w:rPr>
          <w:rFonts w:ascii="Times New Roman" w:cs="Times New Roman" w:eastAsia="Times New Roman" w:hAnsi="Times New Roman"/>
          <w:sz w:val="24"/>
          <w:szCs w:val="24"/>
          <w:rtl w:val="0"/>
        </w:rPr>
        <w:t xml:space="preserve"> Statistical tests confirm that the improvements are significant, with p-values less than 0.05, indicating strong evidence against the null hypothesis of no difference.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 Discussion</w:t>
        <w:br w:type="textWrapping"/>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Interpretation of Results: </w:t>
      </w:r>
      <w:r w:rsidDel="00000000" w:rsidR="00000000" w:rsidRPr="00000000">
        <w:rPr>
          <w:rFonts w:ascii="Times New Roman" w:cs="Times New Roman" w:eastAsia="Times New Roman" w:hAnsi="Times New Roman"/>
          <w:sz w:val="24"/>
          <w:szCs w:val="24"/>
          <w:rtl w:val="0"/>
        </w:rPr>
        <w:t xml:space="preserve">The superior performance of CAC-1 and CAC-2 is attributed to their adaptive nature and ability to preemptively manage resources based on traffic predictions and real-time data.</w:t>
        <w:br w:type="textWrapping"/>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Implications for WiMAX Network Performance: </w:t>
      </w:r>
      <w:r w:rsidDel="00000000" w:rsidR="00000000" w:rsidRPr="00000000">
        <w:rPr>
          <w:rFonts w:ascii="Times New Roman" w:cs="Times New Roman" w:eastAsia="Times New Roman" w:hAnsi="Times New Roman"/>
          <w:sz w:val="24"/>
          <w:szCs w:val="24"/>
          <w:rtl w:val="0"/>
        </w:rPr>
        <w:t xml:space="preserve">The implementation of these schemes can lead to more robust and efficient WiMAX networks, capable of supporting higher data rates and a greater number of users without degradation in service quality.</w:t>
        <w:br w:type="textWrapping"/>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Advantages Over Previous Schemes: </w:t>
      </w:r>
      <w:r w:rsidDel="00000000" w:rsidR="00000000" w:rsidRPr="00000000">
        <w:rPr>
          <w:rFonts w:ascii="Times New Roman" w:cs="Times New Roman" w:eastAsia="Times New Roman" w:hAnsi="Times New Roman"/>
          <w:sz w:val="24"/>
          <w:szCs w:val="24"/>
          <w:rtl w:val="0"/>
        </w:rPr>
        <w:t xml:space="preserve">Unlike previous models, CAC-1 and CAC-2 offer a flexible approach to bandwidth management, adapting to network conditions to optimize resource use and QoS.</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7. Conclusion</w:t>
        <w:br w:type="textWrapping"/>
      </w:r>
    </w:p>
    <w:p w:rsidR="00000000" w:rsidDel="00000000" w:rsidP="00000000" w:rsidRDefault="00000000" w:rsidRPr="00000000" w14:paraId="00000038">
      <w:pPr>
        <w:spacing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WiMAX, based on the IEEE 802.16 standard, is a promising technology for delivering wireless broadband services across extensive areas. The effectiveness of WiMAX heavily relies on its ability to meet the diverse QoS requirements of its users. Although the standard outlines the QoS needs for various services, it does not specify the methods to achieve them. One approach to ensure QoS is through Call Admission Control (CAC) schemes. This thesis evaluates several existing CAC schemes and introduces two novel schemes aimed at enhancing CAC-based QoS in GPSS mode at the Base Station (BS). Here's a summary of the thesis:</w:t>
      </w:r>
    </w:p>
    <w:p w:rsidR="00000000" w:rsidDel="00000000" w:rsidP="00000000" w:rsidRDefault="00000000" w:rsidRPr="00000000" w14:paraId="00000039">
      <w:pPr>
        <w:spacing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bandwidth-efficient scheme, termed the Partition-Based CAC Scheme (CAC-1), is designed for IEEE 802.16e mobile WiMAX networks. It guarantees bandwidth for all service flows by dividing the total bandwidth into four parts: a constant bit rate partition for UGS traffic, a variable bit rate partition for rtPS and nrtPS traffic, a handover partition for handover traffic, and a shared partition for all types of service flows. The Mandani Fuzzy model is applied to the handover partition to dynamically adjust the bandwidth allocations of CBR, VBR, and HO partitions when handover traffic drops occur. The performance of CAC-1 is assessed through metrics such as blocking probability, dropping probability, spectral efficiency, and total bandwidth usage. Results indicate superior bandwidth utilization and traffic admission under varying traffic conditions compared to the FZ-CAC scheme, thus addressing the efficient use of scarce radio resources and achieving desired QoS levels.</w:t>
      </w:r>
    </w:p>
    <w:p w:rsidR="00000000" w:rsidDel="00000000" w:rsidP="00000000" w:rsidRDefault="00000000" w:rsidRPr="00000000" w14:paraId="0000003A">
      <w:pPr>
        <w:spacing w:befor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Partition-Based CAC Scheme is further enhanced by introducing waiting queues in the CBR and VBR partitions. Waiting queues are not added to the handover partition because ongoing calls cannot be delayed without degrading the QoS. This enhanced scheme is also evaluated on several performance metrics, including variations in the length of waiting queues, with lengths of 2 and 6. Simulations show that this modification improves QoS by reducing the blocking probability compared to both the initial partition-based and fuzzy-based schemes. However, while call drop rates decrease compared to the fuzzy-based scheme, they remain consistent with the original partition-based scheme. Increasing the queue length to 6 further reduces the blocking probability, although extending wait times excessively can diminish QoS.</w:t>
      </w:r>
    </w:p>
    <w:p w:rsidR="00000000" w:rsidDel="00000000" w:rsidP="00000000" w:rsidRDefault="00000000" w:rsidRPr="00000000" w14:paraId="0000003C">
      <w:pPr>
        <w:spacing w:befor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Future Scope of Work</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E">
      <w:pPr>
        <w:spacing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CAC schemes presented in this thesis operate independently without integrating with scheduling mechanisms. Future research should focus on developing combined CAC and scheduling strategies to fulfill comprehensive QoS requirements. Additionally, while the proposed CAC schemes are designed for the MAC layer, exploring their application at the physical layer or adopting a cross-layer approach could provide further enhancements in performance and efficiency.</w:t>
      </w:r>
    </w:p>
    <w:p w:rsidR="00000000" w:rsidDel="00000000" w:rsidP="00000000" w:rsidRDefault="00000000" w:rsidRPr="00000000" w14:paraId="0000003F">
      <w:pPr>
        <w:spacing w:befor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References</w:t>
        <w:br w:type="textWrapping"/>
      </w:r>
    </w:p>
    <w:p w:rsidR="00000000" w:rsidDel="00000000" w:rsidP="00000000" w:rsidRDefault="00000000" w:rsidRPr="00000000" w14:paraId="0000004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Abdelali El Bouchti, Said El Kafhali and Abdelkrim Haqiq, </w:t>
      </w:r>
      <w:r w:rsidDel="00000000" w:rsidR="00000000" w:rsidRPr="00000000">
        <w:rPr>
          <w:rFonts w:ascii="Times New Roman" w:cs="Times New Roman" w:eastAsia="Times New Roman" w:hAnsi="Times New Roman"/>
          <w:i w:val="1"/>
          <w:sz w:val="24"/>
          <w:szCs w:val="24"/>
          <w:rtl w:val="0"/>
        </w:rPr>
        <w:t xml:space="preserve">“Performance Modelling and Analysis of Connection Admission Control in OFDMA based WiMAX System with MMPP Queuing”</w:t>
      </w:r>
      <w:r w:rsidDel="00000000" w:rsidR="00000000" w:rsidRPr="00000000">
        <w:rPr>
          <w:rFonts w:ascii="Times New Roman" w:cs="Times New Roman" w:eastAsia="Times New Roman" w:hAnsi="Times New Roman"/>
          <w:sz w:val="24"/>
          <w:szCs w:val="24"/>
          <w:rtl w:val="0"/>
        </w:rPr>
        <w:t xml:space="preserve">, World of Computer Science and Information Technology Journal (WCSIT), Vol. 1, No. 4, pp. 148 – 156, 2011.</w:t>
      </w:r>
    </w:p>
    <w:p w:rsidR="00000000" w:rsidDel="00000000" w:rsidP="00000000" w:rsidRDefault="00000000" w:rsidRPr="00000000" w14:paraId="00000042">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B. Sklar, “</w:t>
      </w:r>
      <w:r w:rsidDel="00000000" w:rsidR="00000000" w:rsidRPr="00000000">
        <w:rPr>
          <w:rFonts w:ascii="Times New Roman" w:cs="Times New Roman" w:eastAsia="Times New Roman" w:hAnsi="Times New Roman"/>
          <w:i w:val="1"/>
          <w:sz w:val="24"/>
          <w:szCs w:val="24"/>
          <w:rtl w:val="0"/>
        </w:rPr>
        <w:t xml:space="preserve">Digital Communications: Fundamentals and Application”</w:t>
      </w:r>
      <w:r w:rsidDel="00000000" w:rsidR="00000000" w:rsidRPr="00000000">
        <w:rPr>
          <w:rFonts w:ascii="Times New Roman" w:cs="Times New Roman" w:eastAsia="Times New Roman" w:hAnsi="Times New Roman"/>
          <w:sz w:val="24"/>
          <w:szCs w:val="24"/>
          <w:rtl w:val="0"/>
        </w:rPr>
        <w:t xml:space="preserve">, Prentice-Hall, Upper Saddle River, NJ, USA, 2nd edition, 2001.</w:t>
      </w:r>
    </w:p>
    <w:p w:rsidR="00000000" w:rsidDel="00000000" w:rsidP="00000000" w:rsidRDefault="00000000" w:rsidRPr="00000000" w14:paraId="00000043">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Chiapin Wang, Wan-Jhen Yan and Hao-Kai Lo, </w:t>
      </w:r>
      <w:r w:rsidDel="00000000" w:rsidR="00000000" w:rsidRPr="00000000">
        <w:rPr>
          <w:rFonts w:ascii="Times New Roman" w:cs="Times New Roman" w:eastAsia="Times New Roman" w:hAnsi="Times New Roman"/>
          <w:i w:val="1"/>
          <w:sz w:val="24"/>
          <w:szCs w:val="24"/>
          <w:rtl w:val="0"/>
        </w:rPr>
        <w:t xml:space="preserve">“Dynamic admission control and Bandwidth reservation for IEEE 802.16e mobile WiMAX networks”,</w:t>
      </w:r>
      <w:r w:rsidDel="00000000" w:rsidR="00000000" w:rsidRPr="00000000">
        <w:rPr>
          <w:rFonts w:ascii="Times New Roman" w:cs="Times New Roman" w:eastAsia="Times New Roman" w:hAnsi="Times New Roman"/>
          <w:sz w:val="24"/>
          <w:szCs w:val="24"/>
          <w:rtl w:val="0"/>
        </w:rPr>
        <w:t xml:space="preserve"> EURASIP    Journal on Wireless Communications and Networking, Vol. 2, pp. 143-163, 2012.</w:t>
      </w:r>
    </w:p>
    <w:p w:rsidR="00000000" w:rsidDel="00000000" w:rsidP="00000000" w:rsidRDefault="00000000" w:rsidRPr="00000000" w14:paraId="00000044">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D. E. Corner, “</w:t>
      </w:r>
      <w:r w:rsidDel="00000000" w:rsidR="00000000" w:rsidRPr="00000000">
        <w:rPr>
          <w:rFonts w:ascii="Times New Roman" w:cs="Times New Roman" w:eastAsia="Times New Roman" w:hAnsi="Times New Roman"/>
          <w:i w:val="1"/>
          <w:sz w:val="24"/>
          <w:szCs w:val="24"/>
          <w:rtl w:val="0"/>
        </w:rPr>
        <w:t xml:space="preserve">Internetworking with TCP/IP-principles, protocols and architecture”</w:t>
      </w:r>
      <w:r w:rsidDel="00000000" w:rsidR="00000000" w:rsidRPr="00000000">
        <w:rPr>
          <w:rFonts w:ascii="Times New Roman" w:cs="Times New Roman" w:eastAsia="Times New Roman" w:hAnsi="Times New Roman"/>
          <w:sz w:val="24"/>
          <w:szCs w:val="24"/>
          <w:rtl w:val="0"/>
        </w:rPr>
        <w:t xml:space="preserv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Pearson Education, 2006.</w:t>
      </w:r>
    </w:p>
    <w:p w:rsidR="00000000" w:rsidDel="00000000" w:rsidP="00000000" w:rsidRDefault="00000000" w:rsidRPr="00000000" w14:paraId="00000045">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D. S. Shu’aibu, S. K. Syed Yusof, N. Fisal, S. H. S. Ariffin, R. A. Rashid, N. M.  Abdul Latiff, and Y. S. Baguda, </w:t>
      </w:r>
      <w:r w:rsidDel="00000000" w:rsidR="00000000" w:rsidRPr="00000000">
        <w:rPr>
          <w:rFonts w:ascii="Times New Roman" w:cs="Times New Roman" w:eastAsia="Times New Roman" w:hAnsi="Times New Roman"/>
          <w:i w:val="1"/>
          <w:sz w:val="24"/>
          <w:szCs w:val="24"/>
          <w:rtl w:val="0"/>
        </w:rPr>
        <w:t xml:space="preserve">“Fuzzy Logic Partition-Based Call Admission Control for Mobile WiMAX”,</w:t>
      </w:r>
      <w:r w:rsidDel="00000000" w:rsidR="00000000" w:rsidRPr="00000000">
        <w:rPr>
          <w:rFonts w:ascii="Times New Roman" w:cs="Times New Roman" w:eastAsia="Times New Roman" w:hAnsi="Times New Roman"/>
          <w:sz w:val="24"/>
          <w:szCs w:val="24"/>
          <w:rtl w:val="0"/>
        </w:rPr>
        <w:t xml:space="preserve"> International Scholarly Research Network ISRN Communications and Networking, Vol.1, pp. 989-998, 2011.</w:t>
      </w:r>
    </w:p>
    <w:p w:rsidR="00000000" w:rsidDel="00000000" w:rsidP="00000000" w:rsidRDefault="00000000" w:rsidRPr="00000000" w14:paraId="00000046">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D. S. Shu’aibu, S. K. Syed Yusof and N. Fisal, </w:t>
      </w:r>
      <w:r w:rsidDel="00000000" w:rsidR="00000000" w:rsidRPr="00000000">
        <w:rPr>
          <w:rFonts w:ascii="Times New Roman" w:cs="Times New Roman" w:eastAsia="Times New Roman" w:hAnsi="Times New Roman"/>
          <w:i w:val="1"/>
          <w:sz w:val="24"/>
          <w:szCs w:val="24"/>
          <w:rtl w:val="0"/>
        </w:rPr>
        <w:t xml:space="preserve">“Capacity Utilization and Admission Control in Downlink of Mobile WiMAX”</w:t>
      </w:r>
      <w:r w:rsidDel="00000000" w:rsidR="00000000" w:rsidRPr="00000000">
        <w:rPr>
          <w:rFonts w:ascii="Times New Roman" w:cs="Times New Roman" w:eastAsia="Times New Roman" w:hAnsi="Times New Roman"/>
          <w:sz w:val="24"/>
          <w:szCs w:val="24"/>
          <w:rtl w:val="0"/>
        </w:rPr>
        <w:t xml:space="preserve">, International Review on Computers and Softwares (I.RE.CO.S), Vol. 5, No. 2, pp. 193-199, 2010.</w:t>
      </w:r>
    </w:p>
    <w:p w:rsidR="00000000" w:rsidDel="00000000" w:rsidP="00000000" w:rsidRDefault="00000000" w:rsidRPr="00000000" w14:paraId="00000047">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 S .Shu’aibu, S. k. Syed Yusof, N. Fisal, </w:t>
      </w:r>
      <w:r w:rsidDel="00000000" w:rsidR="00000000" w:rsidRPr="00000000">
        <w:rPr>
          <w:rFonts w:ascii="Times New Roman" w:cs="Times New Roman" w:eastAsia="Times New Roman" w:hAnsi="Times New Roman"/>
          <w:i w:val="1"/>
          <w:sz w:val="24"/>
          <w:szCs w:val="24"/>
          <w:rtl w:val="0"/>
        </w:rPr>
        <w:t xml:space="preserve">“Call Admission Control in Mobile WiMAX IEEE802.16 with Dual Partitioning”</w:t>
      </w:r>
      <w:r w:rsidDel="00000000" w:rsidR="00000000" w:rsidRPr="00000000">
        <w:rPr>
          <w:rFonts w:ascii="Times New Roman" w:cs="Times New Roman" w:eastAsia="Times New Roman" w:hAnsi="Times New Roman"/>
          <w:sz w:val="24"/>
          <w:szCs w:val="24"/>
          <w:rtl w:val="0"/>
        </w:rPr>
        <w:t xml:space="preserve">, in the proceedings of International Conference on Intelligent Network and Computing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(ICINC), Vol. 2, pp. 21-24, 2010.</w:t>
      </w:r>
    </w:p>
    <w:p w:rsidR="00000000" w:rsidDel="00000000" w:rsidP="00000000" w:rsidRDefault="00000000" w:rsidRPr="00000000" w14:paraId="00000048">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D. S. Shu’aibu, S. K. Syed Yusof and N. Fisal, </w:t>
      </w:r>
      <w:r w:rsidDel="00000000" w:rsidR="00000000" w:rsidRPr="00000000">
        <w:rPr>
          <w:rFonts w:ascii="Times New Roman" w:cs="Times New Roman" w:eastAsia="Times New Roman" w:hAnsi="Times New Roman"/>
          <w:i w:val="1"/>
          <w:sz w:val="24"/>
          <w:szCs w:val="24"/>
          <w:rtl w:val="0"/>
        </w:rPr>
        <w:t xml:space="preserve">“Partition-Based Bandwidth Management  for Mobile WiMAX  IEEE 802.16e”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International Review on Computers and Software (I.RE.CO.S), Vol. 5, No. 4, pp. 284-293, 2010.</w:t>
      </w:r>
    </w:p>
    <w:p w:rsidR="00000000" w:rsidDel="00000000" w:rsidP="00000000" w:rsidRDefault="00000000" w:rsidRPr="00000000" w14:paraId="00000049">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H. Tung, K. Tsang, L. Lee, and K. Ko. QoS for Mobile WiMAX Networks: “</w:t>
      </w:r>
      <w:r w:rsidDel="00000000" w:rsidR="00000000" w:rsidRPr="00000000">
        <w:rPr>
          <w:rFonts w:ascii="Times New Roman" w:cs="Times New Roman" w:eastAsia="Times New Roman" w:hAnsi="Times New Roman"/>
          <w:i w:val="1"/>
          <w:sz w:val="24"/>
          <w:szCs w:val="24"/>
          <w:rtl w:val="0"/>
        </w:rPr>
        <w:t xml:space="preserve">Call Admission Control and Bandwidth Allocation</w:t>
      </w:r>
      <w:r w:rsidDel="00000000" w:rsidR="00000000" w:rsidRPr="00000000">
        <w:rPr>
          <w:rFonts w:ascii="Times New Roman" w:cs="Times New Roman" w:eastAsia="Times New Roman" w:hAnsi="Times New Roman"/>
          <w:sz w:val="24"/>
          <w:szCs w:val="24"/>
          <w:rtl w:val="0"/>
        </w:rPr>
        <w:t xml:space="preserve">”, in the proceedings of the IEEE Consumer Communications and Networking Conference, pp. 576–580, January 2008.</w:t>
      </w:r>
    </w:p>
    <w:p w:rsidR="00000000" w:rsidDel="00000000" w:rsidP="00000000" w:rsidRDefault="00000000" w:rsidRPr="00000000" w14:paraId="0000004A">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IEEE 802.16-2004, </w:t>
      </w:r>
      <w:r w:rsidDel="00000000" w:rsidR="00000000" w:rsidRPr="00000000">
        <w:rPr>
          <w:rFonts w:ascii="Times New Roman" w:cs="Times New Roman" w:eastAsia="Times New Roman" w:hAnsi="Times New Roman"/>
          <w:i w:val="1"/>
          <w:sz w:val="24"/>
          <w:szCs w:val="24"/>
          <w:rtl w:val="0"/>
        </w:rPr>
        <w:t xml:space="preserve">“IEEE Standard for Local and Metropolitan Area Networks, Part 16 Air Interface for Fixed Broadband Wireless Access System</w:t>
      </w:r>
      <w:r w:rsidDel="00000000" w:rsidR="00000000" w:rsidRPr="00000000">
        <w:rPr>
          <w:rFonts w:ascii="Times New Roman" w:cs="Times New Roman" w:eastAsia="Times New Roman" w:hAnsi="Times New Roman"/>
          <w:sz w:val="24"/>
          <w:szCs w:val="24"/>
          <w:rtl w:val="0"/>
        </w:rPr>
        <w:t xml:space="preserve">”, rev. of IEEE 802.16-2001, pp. 1-857, 2001.</w:t>
      </w:r>
    </w:p>
    <w:p w:rsidR="00000000" w:rsidDel="00000000" w:rsidP="00000000" w:rsidRDefault="00000000" w:rsidRPr="00000000" w14:paraId="0000004B">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IEEE 802.16e-2005 and IEEE 802.16-2004/Cor 1-2005(Amendment and corrigendum to IEEE Std. 802.16-2004), “</w:t>
      </w:r>
      <w:r w:rsidDel="00000000" w:rsidR="00000000" w:rsidRPr="00000000">
        <w:rPr>
          <w:rFonts w:ascii="Times New Roman" w:cs="Times New Roman" w:eastAsia="Times New Roman" w:hAnsi="Times New Roman"/>
          <w:i w:val="1"/>
          <w:sz w:val="24"/>
          <w:szCs w:val="24"/>
          <w:rtl w:val="0"/>
        </w:rPr>
        <w:t xml:space="preserve">IEEE Standard for Local and Metropolitan Area Networks. Part 16 Air Interface for Fixed and Mobile Broadband Wireless Access Systems</w:t>
      </w:r>
      <w:r w:rsidDel="00000000" w:rsidR="00000000" w:rsidRPr="00000000">
        <w:rPr>
          <w:rFonts w:ascii="Times New Roman" w:cs="Times New Roman" w:eastAsia="Times New Roman" w:hAnsi="Times New Roman"/>
          <w:sz w:val="24"/>
          <w:szCs w:val="24"/>
          <w:rtl w:val="0"/>
        </w:rPr>
        <w:t xml:space="preserve"> Amendment 2: </w:t>
      </w:r>
      <w:r w:rsidDel="00000000" w:rsidR="00000000" w:rsidRPr="00000000">
        <w:rPr>
          <w:rFonts w:ascii="Times New Roman" w:cs="Times New Roman" w:eastAsia="Times New Roman" w:hAnsi="Times New Roman"/>
          <w:i w:val="1"/>
          <w:sz w:val="24"/>
          <w:szCs w:val="24"/>
          <w:rtl w:val="0"/>
        </w:rPr>
        <w:t xml:space="preserve">Physical and Medium Access Control Layers for Combined Fixed and Mobile Operation in Licensed Bands and Corrigendum 1</w:t>
      </w:r>
      <w:r w:rsidDel="00000000" w:rsidR="00000000" w:rsidRPr="00000000">
        <w:rPr>
          <w:rFonts w:ascii="Times New Roman" w:cs="Times New Roman" w:eastAsia="Times New Roman" w:hAnsi="Times New Roman"/>
          <w:sz w:val="24"/>
          <w:szCs w:val="24"/>
          <w:rtl w:val="0"/>
        </w:rPr>
        <w:t xml:space="preserve">”, pp. 1-822, 2006.</w:t>
      </w:r>
    </w:p>
    <w:p w:rsidR="00000000" w:rsidDel="00000000" w:rsidP="00000000" w:rsidRDefault="00000000" w:rsidRPr="00000000" w14:paraId="0000004C">
      <w:pPr>
        <w:spacing w:before="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IEEE Std. 802.16e, </w:t>
      </w:r>
      <w:r w:rsidDel="00000000" w:rsidR="00000000" w:rsidRPr="00000000">
        <w:rPr>
          <w:rFonts w:ascii="Times New Roman" w:cs="Times New Roman" w:eastAsia="Times New Roman" w:hAnsi="Times New Roman"/>
          <w:i w:val="1"/>
          <w:sz w:val="24"/>
          <w:szCs w:val="24"/>
          <w:rtl w:val="0"/>
        </w:rPr>
        <w:t xml:space="preserve">“IEEE Standard for Local and Metropolitan Area Networks, Part 16: Air Interface for Fixed and Mobile Broadband Wireless Access Systems, </w:t>
      </w:r>
      <w:r w:rsidDel="00000000" w:rsidR="00000000" w:rsidRPr="00000000">
        <w:rPr>
          <w:rFonts w:ascii="Times New Roman" w:cs="Times New Roman" w:eastAsia="Times New Roman" w:hAnsi="Times New Roman"/>
          <w:sz w:val="24"/>
          <w:szCs w:val="24"/>
          <w:rtl w:val="0"/>
        </w:rPr>
        <w:t xml:space="preserve">Amendment 2:</w:t>
      </w:r>
      <w:r w:rsidDel="00000000" w:rsidR="00000000" w:rsidRPr="00000000">
        <w:rPr>
          <w:rFonts w:ascii="Times New Roman" w:cs="Times New Roman" w:eastAsia="Times New Roman" w:hAnsi="Times New Roman"/>
          <w:i w:val="1"/>
          <w:sz w:val="24"/>
          <w:szCs w:val="24"/>
          <w:rtl w:val="0"/>
        </w:rPr>
        <w:t xml:space="preserve"> Physical and Medium Access Control Layers for Combined Fixed and Mobile Operation in Licensed Band and Corrigendum 1”,</w:t>
      </w:r>
      <w:r w:rsidDel="00000000" w:rsidR="00000000" w:rsidRPr="00000000">
        <w:rPr>
          <w:rFonts w:ascii="Times New Roman" w:cs="Times New Roman" w:eastAsia="Times New Roman" w:hAnsi="Times New Roman"/>
          <w:sz w:val="24"/>
          <w:szCs w:val="24"/>
          <w:rtl w:val="0"/>
        </w:rPr>
        <w:t xml:space="preserve"> May 2005.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