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2C" w:rsidRPr="002D7BA6" w:rsidRDefault="002D7BA6" w:rsidP="002D7BA6">
      <w:pPr>
        <w:jc w:val="center"/>
        <w:rPr>
          <w:rFonts w:ascii="Times New Roman" w:hAnsi="Times New Roman" w:cs="Times New Roman"/>
          <w:b/>
          <w:sz w:val="32"/>
        </w:rPr>
      </w:pPr>
      <w:r w:rsidRPr="002D7BA6">
        <w:rPr>
          <w:rFonts w:ascii="Times New Roman" w:hAnsi="Times New Roman" w:cs="Times New Roman"/>
          <w:b/>
          <w:sz w:val="32"/>
        </w:rPr>
        <w:t xml:space="preserve">Current status of stakeholders: </w:t>
      </w:r>
      <w:r w:rsidR="00745A15" w:rsidRPr="002D7BA6">
        <w:rPr>
          <w:rFonts w:ascii="Times New Roman" w:hAnsi="Times New Roman" w:cs="Times New Roman"/>
          <w:b/>
          <w:sz w:val="32"/>
        </w:rPr>
        <w:t xml:space="preserve">Electronic National Agriculture Marketing </w:t>
      </w:r>
      <w:r w:rsidR="007F69E9">
        <w:rPr>
          <w:rFonts w:ascii="Times New Roman" w:hAnsi="Times New Roman" w:cs="Times New Roman"/>
          <w:b/>
          <w:sz w:val="32"/>
        </w:rPr>
        <w:t>in India</w:t>
      </w:r>
      <w:bookmarkStart w:id="0" w:name="_GoBack"/>
      <w:bookmarkEnd w:id="0"/>
    </w:p>
    <w:p w:rsidR="001A2D2B" w:rsidRDefault="001A2D2B" w:rsidP="007E43DF">
      <w:pPr>
        <w:spacing w:after="0" w:line="240" w:lineRule="auto"/>
        <w:jc w:val="both"/>
        <w:rPr>
          <w:rFonts w:ascii="Times New Roman" w:hAnsi="Times New Roman" w:cs="Times New Roman"/>
          <w:b/>
          <w:sz w:val="24"/>
          <w:szCs w:val="28"/>
        </w:rPr>
      </w:pPr>
      <w:r w:rsidRPr="001A2D2B">
        <w:rPr>
          <w:rFonts w:ascii="Times New Roman" w:hAnsi="Times New Roman" w:cs="Times New Roman"/>
          <w:b/>
          <w:sz w:val="24"/>
          <w:szCs w:val="28"/>
        </w:rPr>
        <w:t>Imon Das</w:t>
      </w:r>
      <w:r w:rsidR="002D7BA6">
        <w:rPr>
          <w:rFonts w:ascii="Times New Roman" w:hAnsi="Times New Roman" w:cs="Times New Roman"/>
          <w:b/>
          <w:sz w:val="24"/>
          <w:szCs w:val="28"/>
        </w:rPr>
        <w:t xml:space="preserve">: </w:t>
      </w:r>
      <w:r>
        <w:rPr>
          <w:rFonts w:ascii="Times New Roman" w:hAnsi="Times New Roman" w:cs="Times New Roman"/>
          <w:sz w:val="24"/>
          <w:szCs w:val="28"/>
        </w:rPr>
        <w:t>M.Sc. in Agricultural Economics, Institute of Agricultural Scie</w:t>
      </w:r>
      <w:r w:rsidR="002D7BA6">
        <w:rPr>
          <w:rFonts w:ascii="Times New Roman" w:hAnsi="Times New Roman" w:cs="Times New Roman"/>
          <w:sz w:val="24"/>
          <w:szCs w:val="28"/>
        </w:rPr>
        <w:t>nces, Banaras Hindu University.</w:t>
      </w:r>
    </w:p>
    <w:p w:rsidR="007E43DF" w:rsidRDefault="007E43DF" w:rsidP="007E43DF">
      <w:pPr>
        <w:spacing w:after="0" w:line="240" w:lineRule="auto"/>
        <w:jc w:val="both"/>
        <w:rPr>
          <w:rFonts w:ascii="Times New Roman" w:hAnsi="Times New Roman" w:cs="Times New Roman"/>
          <w:b/>
          <w:sz w:val="24"/>
          <w:szCs w:val="28"/>
        </w:rPr>
      </w:pPr>
    </w:p>
    <w:p w:rsidR="007E43DF" w:rsidRDefault="007E43DF" w:rsidP="00C30127">
      <w:pPr>
        <w:spacing w:after="0" w:line="360" w:lineRule="auto"/>
        <w:jc w:val="both"/>
        <w:rPr>
          <w:rFonts w:ascii="Times New Roman" w:hAnsi="Times New Roman" w:cs="Times New Roman"/>
          <w:b/>
          <w:sz w:val="24"/>
          <w:szCs w:val="28"/>
          <w:u w:val="single"/>
        </w:rPr>
      </w:pPr>
      <w:r w:rsidRPr="007E43DF">
        <w:rPr>
          <w:rFonts w:ascii="Times New Roman" w:hAnsi="Times New Roman" w:cs="Times New Roman"/>
          <w:b/>
          <w:sz w:val="24"/>
          <w:szCs w:val="28"/>
          <w:u w:val="single"/>
        </w:rPr>
        <w:t>A</w:t>
      </w:r>
      <w:r w:rsidR="00224185">
        <w:rPr>
          <w:rFonts w:ascii="Times New Roman" w:hAnsi="Times New Roman" w:cs="Times New Roman"/>
          <w:b/>
          <w:sz w:val="24"/>
          <w:szCs w:val="28"/>
          <w:u w:val="single"/>
        </w:rPr>
        <w:t>BSTRUCT</w:t>
      </w:r>
      <w:r w:rsidRPr="007E43DF">
        <w:rPr>
          <w:rFonts w:ascii="Times New Roman" w:hAnsi="Times New Roman" w:cs="Times New Roman"/>
          <w:b/>
          <w:sz w:val="24"/>
          <w:szCs w:val="28"/>
          <w:u w:val="single"/>
        </w:rPr>
        <w:t>:</w:t>
      </w:r>
      <w:r>
        <w:rPr>
          <w:rFonts w:ascii="Times New Roman" w:hAnsi="Times New Roman" w:cs="Times New Roman"/>
          <w:b/>
          <w:sz w:val="24"/>
          <w:szCs w:val="28"/>
          <w:u w:val="single"/>
        </w:rPr>
        <w:t xml:space="preserve"> </w:t>
      </w:r>
    </w:p>
    <w:p w:rsidR="00D3240E" w:rsidRPr="00D3240E" w:rsidRDefault="00D3240E" w:rsidP="00903B31">
      <w:pPr>
        <w:spacing w:after="0" w:line="360" w:lineRule="auto"/>
        <w:jc w:val="both"/>
        <w:rPr>
          <w:rFonts w:ascii="Times New Roman" w:eastAsia="Times New Roman" w:hAnsi="Times New Roman" w:cs="Times New Roman"/>
          <w:sz w:val="24"/>
          <w:szCs w:val="24"/>
          <w:lang w:eastAsia="en-IN"/>
        </w:rPr>
      </w:pPr>
      <w:r w:rsidRPr="00D3240E">
        <w:rPr>
          <w:rFonts w:ascii="Times New Roman" w:eastAsia="Times New Roman" w:hAnsi="Times New Roman" w:cs="Times New Roman"/>
          <w:sz w:val="24"/>
          <w:szCs w:val="24"/>
          <w:lang w:eastAsia="en-IN"/>
        </w:rPr>
        <w:t>The majority of farmers in India were unable to obtain timely market information about produce arrivals and prices on specific days at various markets because of a deficient market information system. In addition, the producer's share was quite low due to the vast number of middlemen in the supply chain. In an attempt to address these problems, the Indian government decided to introduce a trading platform where farmers and dealers can readily obtain all the information they need to market their produce. Farmers can easily sell their produce in local or distant markets through the "Electronic National Agricultur</w:t>
      </w:r>
      <w:r w:rsidR="00903B31">
        <w:rPr>
          <w:rFonts w:ascii="Times New Roman" w:eastAsia="Times New Roman" w:hAnsi="Times New Roman" w:cs="Times New Roman"/>
          <w:sz w:val="24"/>
          <w:szCs w:val="24"/>
          <w:lang w:eastAsia="en-IN"/>
        </w:rPr>
        <w:t>e Market," an online market platform</w:t>
      </w:r>
      <w:r w:rsidRPr="00D3240E">
        <w:rPr>
          <w:rFonts w:ascii="Times New Roman" w:eastAsia="Times New Roman" w:hAnsi="Times New Roman" w:cs="Times New Roman"/>
          <w:sz w:val="24"/>
          <w:szCs w:val="24"/>
          <w:lang w:eastAsia="en-IN"/>
        </w:rPr>
        <w:t xml:space="preserve"> that also provides them with immediate produce va</w:t>
      </w:r>
      <w:r w:rsidR="00903B31">
        <w:rPr>
          <w:rFonts w:ascii="Times New Roman" w:eastAsia="Times New Roman" w:hAnsi="Times New Roman" w:cs="Times New Roman"/>
          <w:sz w:val="24"/>
          <w:szCs w:val="24"/>
          <w:lang w:eastAsia="en-IN"/>
        </w:rPr>
        <w:t>lue and a larger share in consumer rupee.</w:t>
      </w:r>
    </w:p>
    <w:p w:rsidR="001F2401" w:rsidRPr="001F2401" w:rsidRDefault="001F2401" w:rsidP="001F2401">
      <w:pPr>
        <w:spacing w:after="0" w:line="360" w:lineRule="auto"/>
        <w:jc w:val="both"/>
        <w:rPr>
          <w:rFonts w:ascii="Times New Roman" w:hAnsi="Times New Roman" w:cs="Times New Roman"/>
          <w:sz w:val="24"/>
          <w:szCs w:val="28"/>
        </w:rPr>
      </w:pPr>
      <w:r w:rsidRPr="001F2401">
        <w:rPr>
          <w:rFonts w:ascii="Times New Roman" w:hAnsi="Times New Roman" w:cs="Times New Roman"/>
          <w:b/>
          <w:sz w:val="24"/>
          <w:szCs w:val="28"/>
        </w:rPr>
        <w:t xml:space="preserve">Key words: </w:t>
      </w:r>
      <w:r>
        <w:rPr>
          <w:rFonts w:ascii="Times New Roman" w:hAnsi="Times New Roman" w:cs="Times New Roman"/>
          <w:sz w:val="24"/>
          <w:szCs w:val="28"/>
        </w:rPr>
        <w:t>APMC, FPOs, Electronic trading platform.</w:t>
      </w:r>
    </w:p>
    <w:p w:rsidR="00745A15" w:rsidRDefault="00224185" w:rsidP="001F2401">
      <w:pPr>
        <w:spacing w:after="0" w:line="360" w:lineRule="auto"/>
        <w:jc w:val="both"/>
        <w:rPr>
          <w:rFonts w:ascii="Times New Roman" w:hAnsi="Times New Roman" w:cs="Times New Roman"/>
          <w:b/>
          <w:sz w:val="24"/>
          <w:szCs w:val="28"/>
          <w:u w:val="single"/>
        </w:rPr>
      </w:pPr>
      <w:r>
        <w:rPr>
          <w:rFonts w:ascii="Times New Roman" w:hAnsi="Times New Roman" w:cs="Times New Roman"/>
          <w:b/>
          <w:sz w:val="24"/>
          <w:szCs w:val="28"/>
          <w:u w:val="single"/>
        </w:rPr>
        <w:t>INTRODUCTION</w:t>
      </w:r>
      <w:r w:rsidR="00745A15" w:rsidRPr="00745A15">
        <w:rPr>
          <w:rFonts w:ascii="Times New Roman" w:hAnsi="Times New Roman" w:cs="Times New Roman"/>
          <w:b/>
          <w:sz w:val="24"/>
          <w:szCs w:val="28"/>
          <w:u w:val="single"/>
        </w:rPr>
        <w:t>:</w:t>
      </w:r>
    </w:p>
    <w:p w:rsidR="00591FC1" w:rsidRPr="00C30127" w:rsidRDefault="007C30F4" w:rsidP="00346171">
      <w:pPr>
        <w:spacing w:after="0" w:line="360" w:lineRule="auto"/>
        <w:jc w:val="both"/>
        <w:rPr>
          <w:rFonts w:ascii="Times New Roman" w:hAnsi="Times New Roman" w:cs="Times New Roman"/>
          <w:sz w:val="24"/>
          <w:szCs w:val="28"/>
        </w:rPr>
      </w:pPr>
      <w:r w:rsidRPr="007C30F4">
        <w:rPr>
          <w:rFonts w:ascii="Times New Roman" w:hAnsi="Times New Roman" w:cs="Times New Roman"/>
          <w:sz w:val="24"/>
        </w:rPr>
        <w:t>Electronic National Agriculture Market (</w:t>
      </w:r>
      <w:r w:rsidRPr="007C30F4">
        <w:rPr>
          <w:rFonts w:ascii="Times New Roman" w:hAnsi="Times New Roman" w:cs="Times New Roman"/>
          <w:b/>
          <w:bCs/>
          <w:sz w:val="24"/>
        </w:rPr>
        <w:t>e-NAM</w:t>
      </w:r>
      <w:r w:rsidRPr="007C30F4">
        <w:rPr>
          <w:rFonts w:ascii="Times New Roman" w:hAnsi="Times New Roman" w:cs="Times New Roman"/>
          <w:sz w:val="24"/>
        </w:rPr>
        <w:t>) is a pan-India </w:t>
      </w:r>
      <w:r w:rsidR="00960BAC">
        <w:rPr>
          <w:rFonts w:ascii="Times New Roman" w:hAnsi="Times New Roman" w:cs="Times New Roman"/>
          <w:bCs/>
          <w:sz w:val="24"/>
        </w:rPr>
        <w:t xml:space="preserve">electronic </w:t>
      </w:r>
      <w:r w:rsidR="001A2D2B">
        <w:rPr>
          <w:rFonts w:ascii="Times New Roman" w:hAnsi="Times New Roman" w:cs="Times New Roman"/>
          <w:bCs/>
          <w:sz w:val="24"/>
        </w:rPr>
        <w:t xml:space="preserve">trading </w:t>
      </w:r>
      <w:r w:rsidR="001A2D2B" w:rsidRPr="007C30F4">
        <w:rPr>
          <w:rFonts w:ascii="Times New Roman" w:hAnsi="Times New Roman" w:cs="Times New Roman"/>
          <w:sz w:val="24"/>
        </w:rPr>
        <w:t>portal</w:t>
      </w:r>
      <w:r w:rsidRPr="007C30F4">
        <w:rPr>
          <w:rFonts w:ascii="Times New Roman" w:hAnsi="Times New Roman" w:cs="Times New Roman"/>
          <w:sz w:val="24"/>
        </w:rPr>
        <w:t> </w:t>
      </w:r>
      <w:r w:rsidRPr="007C30F4">
        <w:rPr>
          <w:rFonts w:ascii="Times New Roman" w:hAnsi="Times New Roman" w:cs="Times New Roman"/>
          <w:bCs/>
          <w:sz w:val="24"/>
        </w:rPr>
        <w:t>that aims to connect</w:t>
      </w:r>
      <w:r w:rsidRPr="007C30F4">
        <w:rPr>
          <w:rFonts w:ascii="Times New Roman" w:hAnsi="Times New Roman" w:cs="Times New Roman"/>
          <w:sz w:val="24"/>
        </w:rPr>
        <w:t> existing Agricultural Produce</w:t>
      </w:r>
      <w:r w:rsidR="00AE56BE">
        <w:rPr>
          <w:rFonts w:ascii="Times New Roman" w:hAnsi="Times New Roman" w:cs="Times New Roman"/>
          <w:sz w:val="24"/>
        </w:rPr>
        <w:t xml:space="preserve"> </w:t>
      </w:r>
      <w:r w:rsidRPr="007C30F4">
        <w:rPr>
          <w:rFonts w:ascii="Times New Roman" w:hAnsi="Times New Roman" w:cs="Times New Roman"/>
          <w:bCs/>
          <w:sz w:val="24"/>
        </w:rPr>
        <w:t>Marketing Committees</w:t>
      </w:r>
      <w:r w:rsidRPr="007C30F4">
        <w:rPr>
          <w:rFonts w:ascii="Times New Roman" w:hAnsi="Times New Roman" w:cs="Times New Roman"/>
          <w:sz w:val="24"/>
        </w:rPr>
        <w:t> (APMC</w:t>
      </w:r>
      <w:r w:rsidR="001F2401">
        <w:rPr>
          <w:rFonts w:ascii="Times New Roman" w:hAnsi="Times New Roman" w:cs="Times New Roman"/>
          <w:sz w:val="24"/>
        </w:rPr>
        <w:t>s</w:t>
      </w:r>
      <w:r w:rsidRPr="007C30F4">
        <w:rPr>
          <w:rFonts w:ascii="Times New Roman" w:hAnsi="Times New Roman" w:cs="Times New Roman"/>
          <w:sz w:val="24"/>
        </w:rPr>
        <w:t>) </w:t>
      </w:r>
      <w:r w:rsidRPr="007C30F4">
        <w:rPr>
          <w:rFonts w:ascii="Times New Roman" w:hAnsi="Times New Roman" w:cs="Times New Roman"/>
          <w:bCs/>
          <w:sz w:val="24"/>
        </w:rPr>
        <w:t>in</w:t>
      </w:r>
      <w:r w:rsidRPr="007C30F4">
        <w:rPr>
          <w:rFonts w:ascii="Times New Roman" w:hAnsi="Times New Roman" w:cs="Times New Roman"/>
          <w:sz w:val="24"/>
        </w:rPr>
        <w:t xml:space="preserve"> the </w:t>
      </w:r>
      <w:r w:rsidR="00224185">
        <w:rPr>
          <w:rFonts w:ascii="Times New Roman" w:hAnsi="Times New Roman" w:cs="Times New Roman"/>
          <w:sz w:val="24"/>
        </w:rPr>
        <w:t>country.</w:t>
      </w:r>
      <w:r w:rsidR="001F2401">
        <w:rPr>
          <w:rFonts w:ascii="Times New Roman" w:hAnsi="Times New Roman" w:cs="Times New Roman"/>
          <w:sz w:val="24"/>
        </w:rPr>
        <w:t xml:space="preserve"> It was launched by Honourable Prime Minister on 14</w:t>
      </w:r>
      <w:r w:rsidR="001F2401" w:rsidRPr="001F2401">
        <w:rPr>
          <w:rFonts w:ascii="Times New Roman" w:hAnsi="Times New Roman" w:cs="Times New Roman"/>
          <w:sz w:val="24"/>
          <w:vertAlign w:val="superscript"/>
        </w:rPr>
        <w:t>th</w:t>
      </w:r>
      <w:r w:rsidR="001F2401">
        <w:rPr>
          <w:rFonts w:ascii="Times New Roman" w:hAnsi="Times New Roman" w:cs="Times New Roman"/>
          <w:sz w:val="24"/>
        </w:rPr>
        <w:t xml:space="preserve"> April, 2016 based on the concept of ‘Rashtriya e-Market Service’ (ReMS) Scheme in Karnataka which was started in 2012. </w:t>
      </w:r>
      <w:r w:rsidRPr="007C30F4">
        <w:rPr>
          <w:rFonts w:ascii="Times New Roman" w:hAnsi="Times New Roman" w:cs="Times New Roman"/>
          <w:color w:val="000000"/>
          <w:sz w:val="24"/>
          <w:shd w:val="clear" w:color="auto" w:fill="FFFFFF"/>
        </w:rPr>
        <w:t> Its </w:t>
      </w:r>
      <w:r w:rsidRPr="007C30F4">
        <w:rPr>
          <w:rFonts w:ascii="Times New Roman" w:hAnsi="Times New Roman" w:cs="Times New Roman"/>
          <w:bCs/>
          <w:color w:val="000000"/>
          <w:sz w:val="24"/>
          <w:shd w:val="clear" w:color="auto" w:fill="FFFFFF"/>
        </w:rPr>
        <w:t>main</w:t>
      </w:r>
      <w:r w:rsidR="00AE56BE">
        <w:rPr>
          <w:rFonts w:ascii="Times New Roman" w:hAnsi="Times New Roman" w:cs="Times New Roman"/>
          <w:bCs/>
          <w:color w:val="000000"/>
          <w:sz w:val="24"/>
          <w:shd w:val="clear" w:color="auto" w:fill="FFFFFF"/>
        </w:rPr>
        <w:t xml:space="preserve"> </w:t>
      </w:r>
      <w:r w:rsidRPr="007C30F4">
        <w:rPr>
          <w:rFonts w:ascii="Times New Roman" w:hAnsi="Times New Roman" w:cs="Times New Roman"/>
          <w:color w:val="000000"/>
          <w:sz w:val="24"/>
          <w:shd w:val="clear" w:color="auto" w:fill="FFFFFF"/>
        </w:rPr>
        <w:t>objective</w:t>
      </w:r>
      <w:r w:rsidR="002D7BA6">
        <w:rPr>
          <w:rFonts w:ascii="Times New Roman" w:hAnsi="Times New Roman" w:cs="Times New Roman"/>
          <w:color w:val="000000"/>
          <w:sz w:val="24"/>
          <w:shd w:val="clear" w:color="auto" w:fill="FFFFFF"/>
        </w:rPr>
        <w:t xml:space="preserve"> </w:t>
      </w:r>
      <w:r w:rsidR="007E43DF">
        <w:rPr>
          <w:rFonts w:ascii="Times New Roman" w:hAnsi="Times New Roman" w:cs="Times New Roman"/>
          <w:color w:val="000000"/>
          <w:sz w:val="24"/>
          <w:shd w:val="clear" w:color="auto" w:fill="FFFFFF"/>
        </w:rPr>
        <w:t xml:space="preserve">is </w:t>
      </w:r>
      <w:r w:rsidR="007E43DF" w:rsidRPr="007C30F4">
        <w:rPr>
          <w:rFonts w:ascii="Times New Roman" w:hAnsi="Times New Roman" w:cs="Times New Roman"/>
          <w:color w:val="000000"/>
          <w:sz w:val="24"/>
          <w:shd w:val="clear" w:color="auto" w:fill="FFFFFF"/>
        </w:rPr>
        <w:t>to</w:t>
      </w:r>
      <w:r w:rsidRPr="007C30F4">
        <w:rPr>
          <w:rFonts w:ascii="Times New Roman" w:hAnsi="Times New Roman" w:cs="Times New Roman"/>
          <w:color w:val="000000"/>
          <w:sz w:val="24"/>
          <w:shd w:val="clear" w:color="auto" w:fill="FFFFFF"/>
        </w:rPr>
        <w:t> </w:t>
      </w:r>
      <w:r w:rsidRPr="007C30F4">
        <w:rPr>
          <w:rFonts w:ascii="Times New Roman" w:hAnsi="Times New Roman" w:cs="Times New Roman"/>
          <w:bCs/>
          <w:color w:val="000000"/>
          <w:sz w:val="24"/>
          <w:shd w:val="clear" w:color="auto" w:fill="FFFFFF"/>
        </w:rPr>
        <w:t>create</w:t>
      </w:r>
      <w:r w:rsidRPr="007C30F4">
        <w:rPr>
          <w:rFonts w:ascii="Times New Roman" w:hAnsi="Times New Roman" w:cs="Times New Roman"/>
          <w:color w:val="000000"/>
          <w:sz w:val="24"/>
          <w:shd w:val="clear" w:color="auto" w:fill="FFFFFF"/>
        </w:rPr>
        <w:t> a </w:t>
      </w:r>
      <w:r w:rsidRPr="007C30F4">
        <w:rPr>
          <w:rFonts w:ascii="Times New Roman" w:hAnsi="Times New Roman" w:cs="Times New Roman"/>
          <w:bCs/>
          <w:color w:val="000000"/>
          <w:sz w:val="24"/>
          <w:shd w:val="clear" w:color="auto" w:fill="FFFFFF"/>
        </w:rPr>
        <w:t>single</w:t>
      </w:r>
      <w:r w:rsidRPr="007C30F4">
        <w:rPr>
          <w:rFonts w:ascii="Times New Roman" w:hAnsi="Times New Roman" w:cs="Times New Roman"/>
          <w:color w:val="000000"/>
          <w:sz w:val="24"/>
          <w:shd w:val="clear" w:color="auto" w:fill="FFFFFF"/>
        </w:rPr>
        <w:t> national</w:t>
      </w:r>
      <w:r w:rsidR="002D7BA6">
        <w:rPr>
          <w:rFonts w:ascii="Times New Roman" w:hAnsi="Times New Roman" w:cs="Times New Roman"/>
          <w:color w:val="000000"/>
          <w:sz w:val="24"/>
          <w:shd w:val="clear" w:color="auto" w:fill="FFFFFF"/>
        </w:rPr>
        <w:t xml:space="preserve"> </w:t>
      </w:r>
      <w:r w:rsidRPr="007C30F4">
        <w:rPr>
          <w:rFonts w:ascii="Times New Roman" w:hAnsi="Times New Roman" w:cs="Times New Roman"/>
          <w:color w:val="000000"/>
          <w:sz w:val="24"/>
          <w:shd w:val="clear" w:color="auto" w:fill="FFFFFF"/>
        </w:rPr>
        <w:t>market</w:t>
      </w:r>
      <w:r w:rsidR="002D7BA6">
        <w:rPr>
          <w:rFonts w:ascii="Times New Roman" w:hAnsi="Times New Roman" w:cs="Times New Roman"/>
          <w:color w:val="000000"/>
          <w:sz w:val="24"/>
          <w:shd w:val="clear" w:color="auto" w:fill="FFFFFF"/>
        </w:rPr>
        <w:t xml:space="preserve"> </w:t>
      </w:r>
      <w:r w:rsidRPr="007C30F4">
        <w:rPr>
          <w:rFonts w:ascii="Times New Roman" w:hAnsi="Times New Roman" w:cs="Times New Roman"/>
          <w:color w:val="000000"/>
          <w:sz w:val="24"/>
          <w:shd w:val="clear" w:color="auto" w:fill="FFFFFF"/>
        </w:rPr>
        <w:t>for</w:t>
      </w:r>
      <w:r w:rsidR="009D4066">
        <w:rPr>
          <w:rFonts w:ascii="Times New Roman" w:hAnsi="Times New Roman" w:cs="Times New Roman"/>
          <w:color w:val="000000"/>
          <w:sz w:val="24"/>
          <w:shd w:val="clear" w:color="auto" w:fill="FFFFFF"/>
        </w:rPr>
        <w:t xml:space="preserve"> </w:t>
      </w:r>
      <w:r w:rsidRPr="007C30F4">
        <w:rPr>
          <w:rFonts w:ascii="Times New Roman" w:hAnsi="Times New Roman" w:cs="Times New Roman"/>
          <w:color w:val="000000"/>
          <w:sz w:val="24"/>
          <w:shd w:val="clear" w:color="auto" w:fill="FFFFFF"/>
        </w:rPr>
        <w:t>agricultural </w:t>
      </w:r>
      <w:r w:rsidRPr="007C30F4">
        <w:rPr>
          <w:rFonts w:ascii="Times New Roman" w:hAnsi="Times New Roman" w:cs="Times New Roman"/>
          <w:bCs/>
          <w:color w:val="000000"/>
          <w:sz w:val="24"/>
          <w:shd w:val="clear" w:color="auto" w:fill="FFFFFF"/>
        </w:rPr>
        <w:t>goods.</w:t>
      </w:r>
      <w:r w:rsidRPr="007C30F4">
        <w:rPr>
          <w:rFonts w:ascii="Times New Roman" w:hAnsi="Times New Roman" w:cs="Times New Roman"/>
          <w:color w:val="000000"/>
          <w:sz w:val="24"/>
          <w:shd w:val="clear" w:color="auto" w:fill="FFFFFF"/>
        </w:rPr>
        <w:t> By </w:t>
      </w:r>
      <w:r w:rsidRPr="007C30F4">
        <w:rPr>
          <w:rFonts w:ascii="Times New Roman" w:hAnsi="Times New Roman" w:cs="Times New Roman"/>
          <w:bCs/>
          <w:color w:val="000000"/>
          <w:sz w:val="24"/>
          <w:shd w:val="clear" w:color="auto" w:fill="FFFFFF"/>
        </w:rPr>
        <w:t>connecting</w:t>
      </w:r>
      <w:r w:rsidR="00224185">
        <w:rPr>
          <w:rFonts w:ascii="Times New Roman" w:hAnsi="Times New Roman" w:cs="Times New Roman"/>
          <w:color w:val="000000"/>
          <w:sz w:val="24"/>
          <w:shd w:val="clear" w:color="auto" w:fill="FFFFFF"/>
        </w:rPr>
        <w:t xml:space="preserve"> these </w:t>
      </w:r>
      <w:r w:rsidRPr="007C30F4">
        <w:rPr>
          <w:rFonts w:ascii="Times New Roman" w:hAnsi="Times New Roman" w:cs="Times New Roman"/>
          <w:color w:val="000000"/>
          <w:sz w:val="24"/>
          <w:shd w:val="clear" w:color="auto" w:fill="FFFFFF"/>
        </w:rPr>
        <w:t>APMC </w:t>
      </w:r>
      <w:r w:rsidR="00224185">
        <w:rPr>
          <w:rFonts w:ascii="Times New Roman" w:hAnsi="Times New Roman" w:cs="Times New Roman"/>
          <w:color w:val="000000"/>
          <w:sz w:val="24"/>
          <w:shd w:val="clear" w:color="auto" w:fill="FFFFFF"/>
        </w:rPr>
        <w:t xml:space="preserve">markets through </w:t>
      </w:r>
      <w:r w:rsidRPr="007C30F4">
        <w:rPr>
          <w:rFonts w:ascii="Times New Roman" w:hAnsi="Times New Roman" w:cs="Times New Roman"/>
          <w:color w:val="000000"/>
          <w:sz w:val="24"/>
          <w:shd w:val="clear" w:color="auto" w:fill="FFFFFF"/>
        </w:rPr>
        <w:t>an electronic platform, e-NAM enables farmers and traders to </w:t>
      </w:r>
      <w:r w:rsidRPr="007C30F4">
        <w:rPr>
          <w:rFonts w:ascii="Times New Roman" w:hAnsi="Times New Roman" w:cs="Times New Roman"/>
          <w:bCs/>
          <w:color w:val="000000"/>
          <w:sz w:val="24"/>
          <w:shd w:val="clear" w:color="auto" w:fill="FFFFFF"/>
        </w:rPr>
        <w:t>trade online,</w:t>
      </w:r>
      <w:r w:rsidRPr="007C30F4">
        <w:rPr>
          <w:rFonts w:ascii="Times New Roman" w:hAnsi="Times New Roman" w:cs="Times New Roman"/>
          <w:color w:val="000000"/>
          <w:sz w:val="24"/>
          <w:shd w:val="clear" w:color="auto" w:fill="FFFFFF"/>
        </w:rPr>
        <w:t> creating a seamless </w:t>
      </w:r>
      <w:r w:rsidRPr="007C30F4">
        <w:rPr>
          <w:rFonts w:ascii="Times New Roman" w:hAnsi="Times New Roman" w:cs="Times New Roman"/>
          <w:bCs/>
          <w:color w:val="000000"/>
          <w:sz w:val="24"/>
          <w:shd w:val="clear" w:color="auto" w:fill="FFFFFF"/>
        </w:rPr>
        <w:t>market that can be accessed</w:t>
      </w:r>
      <w:r w:rsidRPr="007C30F4">
        <w:rPr>
          <w:rFonts w:ascii="Times New Roman" w:hAnsi="Times New Roman" w:cs="Times New Roman"/>
          <w:color w:val="000000"/>
          <w:sz w:val="24"/>
          <w:shd w:val="clear" w:color="auto" w:fill="FFFFFF"/>
        </w:rPr>
        <w:t> from anywhere in the country</w:t>
      </w:r>
      <w:r w:rsidR="00C30127">
        <w:rPr>
          <w:rFonts w:ascii="Times New Roman" w:hAnsi="Times New Roman" w:cs="Times New Roman"/>
          <w:b/>
          <w:sz w:val="24"/>
          <w:szCs w:val="28"/>
        </w:rPr>
        <w:t xml:space="preserve"> </w:t>
      </w:r>
      <w:r w:rsidR="00C30127">
        <w:rPr>
          <w:rFonts w:ascii="Times New Roman" w:hAnsi="Times New Roman" w:cs="Times New Roman"/>
          <w:sz w:val="24"/>
          <w:szCs w:val="28"/>
        </w:rPr>
        <w:t>and also having more access to market their commodities.</w:t>
      </w:r>
    </w:p>
    <w:p w:rsidR="007E43DF" w:rsidRPr="007E43DF" w:rsidRDefault="007E43DF" w:rsidP="00346171">
      <w:pPr>
        <w:spacing w:after="0" w:line="360" w:lineRule="auto"/>
        <w:jc w:val="both"/>
        <w:rPr>
          <w:rFonts w:ascii="Times New Roman" w:hAnsi="Times New Roman" w:cs="Times New Roman"/>
          <w:sz w:val="24"/>
          <w:szCs w:val="28"/>
          <w:u w:val="single"/>
        </w:rPr>
      </w:pPr>
      <w:r w:rsidRPr="007E43DF">
        <w:rPr>
          <w:rFonts w:ascii="Times New Roman" w:hAnsi="Times New Roman" w:cs="Times New Roman"/>
          <w:b/>
          <w:sz w:val="24"/>
          <w:szCs w:val="28"/>
          <w:u w:val="single"/>
        </w:rPr>
        <w:t>R</w:t>
      </w:r>
      <w:r w:rsidR="00224185">
        <w:rPr>
          <w:rFonts w:ascii="Times New Roman" w:hAnsi="Times New Roman" w:cs="Times New Roman"/>
          <w:b/>
          <w:sz w:val="24"/>
          <w:szCs w:val="28"/>
          <w:u w:val="single"/>
        </w:rPr>
        <w:t>ESULT &amp; FINDINGS</w:t>
      </w:r>
      <w:r w:rsidRPr="007E43DF">
        <w:rPr>
          <w:rFonts w:ascii="Times New Roman" w:hAnsi="Times New Roman" w:cs="Times New Roman"/>
          <w:b/>
          <w:sz w:val="24"/>
          <w:szCs w:val="28"/>
          <w:u w:val="single"/>
        </w:rPr>
        <w:t>:</w:t>
      </w:r>
    </w:p>
    <w:p w:rsidR="00DA79EF" w:rsidRDefault="00DA79EF" w:rsidP="00346171">
      <w:pPr>
        <w:spacing w:after="0" w:line="360" w:lineRule="auto"/>
        <w:jc w:val="both"/>
        <w:rPr>
          <w:rFonts w:ascii="Times New Roman" w:hAnsi="Times New Roman" w:cs="Times New Roman"/>
          <w:sz w:val="24"/>
          <w:szCs w:val="28"/>
        </w:rPr>
      </w:pPr>
      <w:r w:rsidRPr="00DA79EF">
        <w:rPr>
          <w:rFonts w:ascii="Times New Roman" w:hAnsi="Times New Roman" w:cs="Times New Roman"/>
          <w:sz w:val="24"/>
          <w:szCs w:val="28"/>
        </w:rPr>
        <w:t>The success of e-NAM relies on the collaboration and participation of various key stakeholders, in</w:t>
      </w:r>
      <w:r>
        <w:rPr>
          <w:rFonts w:ascii="Times New Roman" w:hAnsi="Times New Roman" w:cs="Times New Roman"/>
          <w:sz w:val="24"/>
          <w:szCs w:val="28"/>
        </w:rPr>
        <w:t>cluding:</w:t>
      </w:r>
      <w:r w:rsidRPr="00DA79EF">
        <w:rPr>
          <w:rFonts w:ascii="Times New Roman" w:hAnsi="Times New Roman" w:cs="Times New Roman"/>
          <w:sz w:val="24"/>
          <w:szCs w:val="28"/>
        </w:rPr>
        <w:t xml:space="preserve"> APMCs (Agricultural Produ</w:t>
      </w:r>
      <w:r w:rsidR="00591FC1">
        <w:rPr>
          <w:rFonts w:ascii="Times New Roman" w:hAnsi="Times New Roman" w:cs="Times New Roman"/>
          <w:sz w:val="24"/>
          <w:szCs w:val="28"/>
        </w:rPr>
        <w:t>ce Market Committees) or Mandis</w:t>
      </w:r>
      <w:r>
        <w:rPr>
          <w:rFonts w:ascii="Times New Roman" w:hAnsi="Times New Roman" w:cs="Times New Roman"/>
          <w:sz w:val="24"/>
          <w:szCs w:val="28"/>
        </w:rPr>
        <w:t>; Farmers; T</w:t>
      </w:r>
      <w:r w:rsidRPr="00DA79EF">
        <w:rPr>
          <w:rFonts w:ascii="Times New Roman" w:hAnsi="Times New Roman" w:cs="Times New Roman"/>
          <w:sz w:val="24"/>
          <w:szCs w:val="28"/>
        </w:rPr>
        <w:t>rader</w:t>
      </w:r>
      <w:r w:rsidR="00591FC1">
        <w:rPr>
          <w:rFonts w:ascii="Times New Roman" w:hAnsi="Times New Roman" w:cs="Times New Roman"/>
          <w:sz w:val="24"/>
          <w:szCs w:val="28"/>
        </w:rPr>
        <w:t>s</w:t>
      </w:r>
      <w:r>
        <w:rPr>
          <w:rFonts w:ascii="Times New Roman" w:hAnsi="Times New Roman" w:cs="Times New Roman"/>
          <w:sz w:val="24"/>
          <w:szCs w:val="28"/>
        </w:rPr>
        <w:t xml:space="preserve">; </w:t>
      </w:r>
      <w:r w:rsidR="00E91A16">
        <w:rPr>
          <w:rFonts w:ascii="Times New Roman" w:hAnsi="Times New Roman" w:cs="Times New Roman"/>
          <w:sz w:val="24"/>
          <w:szCs w:val="28"/>
        </w:rPr>
        <w:t>Commission Agents (CA</w:t>
      </w:r>
      <w:r w:rsidR="00591FC1">
        <w:rPr>
          <w:rFonts w:ascii="Times New Roman" w:hAnsi="Times New Roman" w:cs="Times New Roman"/>
          <w:sz w:val="24"/>
          <w:szCs w:val="28"/>
        </w:rPr>
        <w:t>);</w:t>
      </w:r>
      <w:r w:rsidRPr="00DA79EF">
        <w:rPr>
          <w:rFonts w:ascii="Times New Roman" w:hAnsi="Times New Roman" w:cs="Times New Roman"/>
          <w:sz w:val="24"/>
          <w:szCs w:val="28"/>
        </w:rPr>
        <w:t xml:space="preserve"> Farm </w:t>
      </w:r>
      <w:r w:rsidR="00591FC1">
        <w:rPr>
          <w:rFonts w:ascii="Times New Roman" w:hAnsi="Times New Roman" w:cs="Times New Roman"/>
          <w:sz w:val="24"/>
          <w:szCs w:val="28"/>
        </w:rPr>
        <w:t>Producers' Organiza</w:t>
      </w:r>
      <w:r w:rsidR="006E15A7">
        <w:rPr>
          <w:rFonts w:ascii="Times New Roman" w:hAnsi="Times New Roman" w:cs="Times New Roman"/>
          <w:sz w:val="24"/>
          <w:szCs w:val="28"/>
        </w:rPr>
        <w:t>tions (FPOs); Service Providers.</w:t>
      </w:r>
      <w:r w:rsidR="00224185">
        <w:rPr>
          <w:rFonts w:ascii="Times New Roman" w:hAnsi="Times New Roman" w:cs="Times New Roman"/>
          <w:sz w:val="24"/>
          <w:szCs w:val="28"/>
        </w:rPr>
        <w:t xml:space="preserve"> In this section the current scenario of state-wise distribution of various stakeholders under this scheme in India and the ranking of different states based on the registered stakeholders are mentioned.</w:t>
      </w:r>
    </w:p>
    <w:p w:rsidR="007E43DF" w:rsidRDefault="00745A15" w:rsidP="00346171">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7E43DF">
        <w:rPr>
          <w:rFonts w:ascii="Times New Roman" w:eastAsia="Times New Roman" w:hAnsi="Times New Roman" w:cs="Times New Roman"/>
          <w:b/>
          <w:sz w:val="24"/>
          <w:szCs w:val="24"/>
          <w:lang w:eastAsia="en-IN"/>
        </w:rPr>
        <w:t>Break up of stakeholders of e-NAM:</w:t>
      </w:r>
      <w:r w:rsidRPr="007E43DF">
        <w:rPr>
          <w:rFonts w:ascii="Times New Roman" w:eastAsia="Times New Roman" w:hAnsi="Times New Roman" w:cs="Times New Roman"/>
          <w:sz w:val="24"/>
          <w:szCs w:val="24"/>
          <w:lang w:eastAsia="en-IN"/>
        </w:rPr>
        <w:t xml:space="preserve"> </w:t>
      </w:r>
    </w:p>
    <w:p w:rsidR="001F2401" w:rsidRDefault="00745A15" w:rsidP="002659CB">
      <w:pPr>
        <w:pStyle w:val="ListParagraph"/>
        <w:spacing w:after="0" w:line="360" w:lineRule="auto"/>
        <w:jc w:val="both"/>
        <w:rPr>
          <w:rFonts w:ascii="Times New Roman" w:eastAsia="Times New Roman" w:hAnsi="Times New Roman" w:cs="Times New Roman"/>
          <w:sz w:val="24"/>
          <w:szCs w:val="24"/>
          <w:lang w:eastAsia="en-IN"/>
        </w:rPr>
      </w:pPr>
      <w:r w:rsidRPr="007E43DF">
        <w:rPr>
          <w:rFonts w:ascii="Times New Roman" w:eastAsia="Times New Roman" w:hAnsi="Times New Roman" w:cs="Times New Roman"/>
          <w:sz w:val="24"/>
          <w:szCs w:val="24"/>
          <w:lang w:eastAsia="en-IN"/>
        </w:rPr>
        <w:t>As on February, 2024 the total number of registered farmers under this scheme are more than 1.77 crores and the number of traders have become 2.54 lakhs all over the nation. FPOs have also joined the scheme and at present total 3510 FPOs are working under the scheme; at present total number of stakeholder under e-NAM scheme are more than 1.8 crores.</w:t>
      </w:r>
    </w:p>
    <w:p w:rsidR="002659CB" w:rsidRDefault="002659CB" w:rsidP="002659CB">
      <w:pPr>
        <w:pStyle w:val="ListParagraph"/>
        <w:spacing w:after="0" w:line="360" w:lineRule="auto"/>
        <w:jc w:val="both"/>
        <w:rPr>
          <w:rFonts w:ascii="Times New Roman" w:eastAsia="Times New Roman" w:hAnsi="Times New Roman" w:cs="Times New Roman"/>
          <w:sz w:val="24"/>
          <w:szCs w:val="24"/>
          <w:lang w:eastAsia="en-IN"/>
        </w:rPr>
      </w:pPr>
    </w:p>
    <w:p w:rsidR="002659CB" w:rsidRDefault="002659CB" w:rsidP="002659CB">
      <w:pPr>
        <w:pStyle w:val="ListParagraph"/>
        <w:spacing w:after="0" w:line="360" w:lineRule="auto"/>
        <w:jc w:val="both"/>
        <w:rPr>
          <w:rFonts w:ascii="Times New Roman" w:eastAsia="Times New Roman" w:hAnsi="Times New Roman" w:cs="Times New Roman"/>
          <w:sz w:val="24"/>
          <w:szCs w:val="24"/>
          <w:lang w:eastAsia="en-IN"/>
        </w:rPr>
      </w:pPr>
    </w:p>
    <w:p w:rsidR="002659CB" w:rsidRPr="002659CB" w:rsidRDefault="002659CB" w:rsidP="002659CB">
      <w:pPr>
        <w:pStyle w:val="ListParagraph"/>
        <w:spacing w:after="0" w:line="360" w:lineRule="auto"/>
        <w:jc w:val="both"/>
        <w:rPr>
          <w:rFonts w:ascii="Times New Roman" w:eastAsia="Times New Roman" w:hAnsi="Times New Roman" w:cs="Times New Roman"/>
          <w:sz w:val="24"/>
          <w:szCs w:val="24"/>
          <w:lang w:eastAsia="en-IN"/>
        </w:rPr>
      </w:pPr>
    </w:p>
    <w:tbl>
      <w:tblPr>
        <w:tblStyle w:val="LightList-Accent3"/>
        <w:tblW w:w="6946" w:type="dxa"/>
        <w:jc w:val="center"/>
        <w:tblInd w:w="1242" w:type="dxa"/>
        <w:tblLook w:val="04A0" w:firstRow="1" w:lastRow="0" w:firstColumn="1" w:lastColumn="0" w:noHBand="0" w:noVBand="1"/>
      </w:tblPr>
      <w:tblGrid>
        <w:gridCol w:w="2833"/>
        <w:gridCol w:w="4113"/>
      </w:tblGrid>
      <w:tr w:rsidR="00745A15" w:rsidRPr="00781A19" w:rsidTr="002D7BA6">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833" w:type="dxa"/>
            <w:hideMark/>
          </w:tcPr>
          <w:p w:rsidR="00745A15" w:rsidRPr="00781A19" w:rsidRDefault="00745A15" w:rsidP="00C30127">
            <w:pPr>
              <w:spacing w:line="360" w:lineRule="auto"/>
              <w:ind w:left="720"/>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FFFFFF" w:themeColor="light1"/>
                <w:kern w:val="24"/>
                <w:sz w:val="24"/>
                <w:szCs w:val="24"/>
                <w:lang w:eastAsia="en-IN"/>
              </w:rPr>
              <w:lastRenderedPageBreak/>
              <w:t>State and UTs</w:t>
            </w:r>
          </w:p>
        </w:tc>
        <w:tc>
          <w:tcPr>
            <w:tcW w:w="4113" w:type="dxa"/>
            <w:hideMark/>
          </w:tcPr>
          <w:p w:rsidR="00745A15" w:rsidRPr="00781A19" w:rsidRDefault="00745A15" w:rsidP="00C30127">
            <w:pPr>
              <w:spacing w:line="360" w:lineRule="auto"/>
              <w:ind w:left="7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FFFFFF" w:themeColor="light1"/>
                <w:kern w:val="24"/>
                <w:sz w:val="24"/>
                <w:szCs w:val="24"/>
                <w:lang w:eastAsia="en-IN"/>
              </w:rPr>
              <w:t>27 (23 States + 4 UTs)</w:t>
            </w:r>
          </w:p>
        </w:tc>
      </w:tr>
      <w:tr w:rsidR="00745A15" w:rsidRPr="00781A19" w:rsidTr="002D7BA6">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2833" w:type="dxa"/>
            <w:hideMark/>
          </w:tcPr>
          <w:p w:rsidR="00745A15" w:rsidRPr="00781A19" w:rsidRDefault="00745A15" w:rsidP="00C30127">
            <w:pPr>
              <w:spacing w:line="360" w:lineRule="auto"/>
              <w:ind w:left="720"/>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Traders</w:t>
            </w:r>
          </w:p>
        </w:tc>
        <w:tc>
          <w:tcPr>
            <w:tcW w:w="4113" w:type="dxa"/>
            <w:hideMark/>
          </w:tcPr>
          <w:p w:rsidR="00745A15" w:rsidRPr="00781A19" w:rsidRDefault="00745A15" w:rsidP="00C30127">
            <w:pPr>
              <w:spacing w:line="360" w:lineRule="auto"/>
              <w:ind w:left="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253725</w:t>
            </w:r>
          </w:p>
        </w:tc>
      </w:tr>
      <w:tr w:rsidR="00745A15" w:rsidRPr="00781A19" w:rsidTr="002D7BA6">
        <w:trPr>
          <w:trHeight w:val="381"/>
          <w:jc w:val="center"/>
        </w:trPr>
        <w:tc>
          <w:tcPr>
            <w:cnfStyle w:val="001000000000" w:firstRow="0" w:lastRow="0" w:firstColumn="1" w:lastColumn="0" w:oddVBand="0" w:evenVBand="0" w:oddHBand="0" w:evenHBand="0" w:firstRowFirstColumn="0" w:firstRowLastColumn="0" w:lastRowFirstColumn="0" w:lastRowLastColumn="0"/>
            <w:tcW w:w="2833" w:type="dxa"/>
            <w:hideMark/>
          </w:tcPr>
          <w:p w:rsidR="00745A15" w:rsidRPr="00781A19" w:rsidRDefault="00745A15" w:rsidP="00C30127">
            <w:pPr>
              <w:spacing w:line="360" w:lineRule="auto"/>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 xml:space="preserve">        Commission agents</w:t>
            </w:r>
          </w:p>
        </w:tc>
        <w:tc>
          <w:tcPr>
            <w:tcW w:w="4113" w:type="dxa"/>
            <w:hideMark/>
          </w:tcPr>
          <w:p w:rsidR="00745A15" w:rsidRPr="00781A19" w:rsidRDefault="00745A15" w:rsidP="00C30127">
            <w:pPr>
              <w:spacing w:line="36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111488</w:t>
            </w:r>
          </w:p>
        </w:tc>
      </w:tr>
      <w:tr w:rsidR="00745A15" w:rsidRPr="00781A19" w:rsidTr="002D7BA6">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2833" w:type="dxa"/>
            <w:hideMark/>
          </w:tcPr>
          <w:p w:rsidR="00745A15" w:rsidRPr="00781A19" w:rsidRDefault="00745A15" w:rsidP="00C30127">
            <w:pPr>
              <w:spacing w:line="360" w:lineRule="auto"/>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 xml:space="preserve">           Service providers</w:t>
            </w:r>
          </w:p>
        </w:tc>
        <w:tc>
          <w:tcPr>
            <w:tcW w:w="4113" w:type="dxa"/>
            <w:hideMark/>
          </w:tcPr>
          <w:p w:rsidR="00745A15" w:rsidRPr="00781A19" w:rsidRDefault="00745A15" w:rsidP="00C30127">
            <w:pPr>
              <w:spacing w:line="360" w:lineRule="auto"/>
              <w:ind w:left="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79</w:t>
            </w:r>
          </w:p>
        </w:tc>
      </w:tr>
      <w:tr w:rsidR="00745A15" w:rsidRPr="00781A19" w:rsidTr="002D7BA6">
        <w:trPr>
          <w:trHeight w:val="423"/>
          <w:jc w:val="center"/>
        </w:trPr>
        <w:tc>
          <w:tcPr>
            <w:cnfStyle w:val="001000000000" w:firstRow="0" w:lastRow="0" w:firstColumn="1" w:lastColumn="0" w:oddVBand="0" w:evenVBand="0" w:oddHBand="0" w:evenHBand="0" w:firstRowFirstColumn="0" w:firstRowLastColumn="0" w:lastRowFirstColumn="0" w:lastRowLastColumn="0"/>
            <w:tcW w:w="2833" w:type="dxa"/>
            <w:hideMark/>
          </w:tcPr>
          <w:p w:rsidR="00745A15" w:rsidRPr="00781A19" w:rsidRDefault="00745A15" w:rsidP="00C30127">
            <w:pPr>
              <w:spacing w:line="360" w:lineRule="auto"/>
              <w:ind w:left="720"/>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Farmers</w:t>
            </w:r>
          </w:p>
        </w:tc>
        <w:tc>
          <w:tcPr>
            <w:tcW w:w="4113" w:type="dxa"/>
            <w:hideMark/>
          </w:tcPr>
          <w:p w:rsidR="00745A15" w:rsidRPr="00781A19" w:rsidRDefault="00745A15" w:rsidP="00C30127">
            <w:pPr>
              <w:spacing w:line="36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17705211</w:t>
            </w:r>
          </w:p>
        </w:tc>
      </w:tr>
      <w:tr w:rsidR="00745A15" w:rsidRPr="00781A19" w:rsidTr="002D7BA6">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833" w:type="dxa"/>
            <w:hideMark/>
          </w:tcPr>
          <w:p w:rsidR="00745A15" w:rsidRPr="00781A19" w:rsidRDefault="00745A15" w:rsidP="00C30127">
            <w:pPr>
              <w:spacing w:line="360" w:lineRule="auto"/>
              <w:ind w:left="720"/>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FPOs</w:t>
            </w:r>
          </w:p>
        </w:tc>
        <w:tc>
          <w:tcPr>
            <w:tcW w:w="4113" w:type="dxa"/>
            <w:hideMark/>
          </w:tcPr>
          <w:p w:rsidR="00745A15" w:rsidRPr="00781A19" w:rsidRDefault="00745A15" w:rsidP="00C30127">
            <w:pPr>
              <w:spacing w:line="360" w:lineRule="auto"/>
              <w:ind w:left="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3510</w:t>
            </w:r>
          </w:p>
        </w:tc>
      </w:tr>
      <w:tr w:rsidR="00745A15" w:rsidRPr="00781A19" w:rsidTr="002D7BA6">
        <w:trPr>
          <w:trHeight w:val="363"/>
          <w:jc w:val="center"/>
        </w:trPr>
        <w:tc>
          <w:tcPr>
            <w:cnfStyle w:val="001000000000" w:firstRow="0" w:lastRow="0" w:firstColumn="1" w:lastColumn="0" w:oddVBand="0" w:evenVBand="0" w:oddHBand="0" w:evenHBand="0" w:firstRowFirstColumn="0" w:firstRowLastColumn="0" w:lastRowFirstColumn="0" w:lastRowLastColumn="0"/>
            <w:tcW w:w="2833" w:type="dxa"/>
            <w:hideMark/>
          </w:tcPr>
          <w:p w:rsidR="00745A15" w:rsidRPr="00781A19" w:rsidRDefault="00745A15" w:rsidP="00C30127">
            <w:pPr>
              <w:spacing w:line="360" w:lineRule="auto"/>
              <w:ind w:left="720"/>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color w:val="000000" w:themeColor="dark1"/>
                <w:kern w:val="24"/>
                <w:sz w:val="24"/>
                <w:szCs w:val="24"/>
                <w:lang w:eastAsia="en-IN"/>
              </w:rPr>
              <w:t>Total</w:t>
            </w:r>
          </w:p>
        </w:tc>
        <w:tc>
          <w:tcPr>
            <w:tcW w:w="4113" w:type="dxa"/>
            <w:hideMark/>
          </w:tcPr>
          <w:p w:rsidR="00745A15" w:rsidRPr="00781A19" w:rsidRDefault="00745A15" w:rsidP="00C30127">
            <w:pPr>
              <w:spacing w:line="36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en-IN"/>
              </w:rPr>
            </w:pPr>
            <w:r w:rsidRPr="00781A19">
              <w:rPr>
                <w:rFonts w:ascii="Times New Roman" w:eastAsia="Times New Roman" w:hAnsi="Times New Roman" w:cs="Times New Roman"/>
                <w:b/>
                <w:color w:val="000000" w:themeColor="dark1"/>
                <w:kern w:val="24"/>
                <w:sz w:val="24"/>
                <w:szCs w:val="24"/>
                <w:lang w:eastAsia="en-IN"/>
              </w:rPr>
              <w:t>18074013</w:t>
            </w:r>
          </w:p>
        </w:tc>
      </w:tr>
    </w:tbl>
    <w:p w:rsidR="00745A15" w:rsidRDefault="008F52CB" w:rsidP="00745A15">
      <w:pPr>
        <w:spacing w:after="0" w:line="240" w:lineRule="auto"/>
        <w:jc w:val="center"/>
        <w:rPr>
          <w:rFonts w:ascii="Times New Roman" w:eastAsia="Times New Roman" w:hAnsi="Times New Roman" w:cs="Times New Roman"/>
          <w:sz w:val="24"/>
          <w:szCs w:val="24"/>
          <w:lang w:val="en-US" w:eastAsia="en-IN"/>
        </w:rPr>
      </w:pPr>
      <w:r w:rsidRPr="008F52CB">
        <w:rPr>
          <w:rFonts w:ascii="Times New Roman" w:eastAsia="Times New Roman" w:hAnsi="Times New Roman" w:cs="Times New Roman"/>
          <w:b/>
          <w:sz w:val="24"/>
          <w:szCs w:val="24"/>
          <w:lang w:val="en-US" w:eastAsia="en-IN"/>
        </w:rPr>
        <w:t>Table</w:t>
      </w:r>
      <w:r w:rsidR="0030180B" w:rsidRPr="008F52CB">
        <w:rPr>
          <w:rFonts w:ascii="Times New Roman" w:eastAsia="Times New Roman" w:hAnsi="Times New Roman" w:cs="Times New Roman"/>
          <w:b/>
          <w:sz w:val="24"/>
          <w:szCs w:val="24"/>
          <w:lang w:val="en-US" w:eastAsia="en-IN"/>
        </w:rPr>
        <w:t xml:space="preserve"> 1</w:t>
      </w:r>
      <w:r w:rsidR="00745A15" w:rsidRPr="008F52CB">
        <w:rPr>
          <w:rFonts w:ascii="Times New Roman" w:eastAsia="Times New Roman" w:hAnsi="Times New Roman" w:cs="Times New Roman"/>
          <w:b/>
          <w:sz w:val="24"/>
          <w:szCs w:val="24"/>
          <w:lang w:val="en-US" w:eastAsia="en-IN"/>
        </w:rPr>
        <w:t>:</w:t>
      </w:r>
      <w:r w:rsidR="00745A15" w:rsidRPr="00781A19">
        <w:rPr>
          <w:rFonts w:ascii="Times New Roman" w:eastAsia="Times New Roman" w:hAnsi="Times New Roman" w:cs="Times New Roman"/>
          <w:sz w:val="24"/>
          <w:szCs w:val="24"/>
          <w:lang w:val="en-US" w:eastAsia="en-IN"/>
        </w:rPr>
        <w:t xml:space="preserve"> Br</w:t>
      </w:r>
      <w:r w:rsidR="00745A15">
        <w:rPr>
          <w:rFonts w:ascii="Times New Roman" w:eastAsia="Times New Roman" w:hAnsi="Times New Roman" w:cs="Times New Roman"/>
          <w:sz w:val="24"/>
          <w:szCs w:val="24"/>
          <w:lang w:val="en-US" w:eastAsia="en-IN"/>
        </w:rPr>
        <w:t>eak up of stakeholders of e-NAM</w:t>
      </w:r>
    </w:p>
    <w:p w:rsidR="001A2D2B" w:rsidRPr="002D7BA6" w:rsidRDefault="00745A15" w:rsidP="002D7BA6">
      <w:pPr>
        <w:spacing w:after="0" w:line="360" w:lineRule="auto"/>
        <w:jc w:val="center"/>
        <w:rPr>
          <w:rFonts w:ascii="Times New Roman" w:eastAsia="Times New Roman" w:hAnsi="Times New Roman" w:cs="Times New Roman"/>
          <w:sz w:val="24"/>
          <w:szCs w:val="24"/>
          <w:lang w:val="en-US" w:eastAsia="en-IN"/>
        </w:rPr>
      </w:pPr>
      <w:r w:rsidRPr="00781A19">
        <w:rPr>
          <w:rFonts w:ascii="Times New Roman" w:eastAsia="Times New Roman" w:hAnsi="Times New Roman" w:cs="Times New Roman"/>
          <w:b/>
          <w:sz w:val="24"/>
          <w:szCs w:val="24"/>
          <w:lang w:val="en-US" w:eastAsia="en-IN"/>
        </w:rPr>
        <w:t>(</w:t>
      </w:r>
      <w:r w:rsidRPr="00781A19">
        <w:rPr>
          <w:rFonts w:ascii="Times New Roman" w:eastAsia="Times New Roman" w:hAnsi="Times New Roman" w:cs="Times New Roman"/>
          <w:b/>
          <w:sz w:val="24"/>
          <w:szCs w:val="24"/>
          <w:lang w:eastAsia="en-IN"/>
        </w:rPr>
        <w:t xml:space="preserve">Source: </w:t>
      </w:r>
      <w:hyperlink r:id="rId8" w:history="1">
        <w:r w:rsidR="004943E1" w:rsidRPr="00781A19">
          <w:rPr>
            <w:rStyle w:val="Hyperlink"/>
            <w:rFonts w:ascii="Times New Roman" w:hAnsi="Times New Roman" w:cs="Times New Roman"/>
            <w:sz w:val="24"/>
            <w:szCs w:val="24"/>
            <w:lang w:val="en-US"/>
          </w:rPr>
          <w:t>https://enam.gov.in/</w:t>
        </w:r>
      </w:hyperlink>
      <w:r w:rsidR="004943E1">
        <w:rPr>
          <w:rStyle w:val="Hyperlink"/>
          <w:rFonts w:ascii="Times New Roman" w:hAnsi="Times New Roman" w:cs="Times New Roman"/>
          <w:color w:val="auto"/>
          <w:sz w:val="24"/>
          <w:szCs w:val="24"/>
          <w:u w:val="none"/>
          <w:lang w:val="en-US"/>
        </w:rPr>
        <w:t>)</w:t>
      </w:r>
    </w:p>
    <w:p w:rsidR="00745A15" w:rsidRPr="007E43DF" w:rsidRDefault="00745A15" w:rsidP="007E43DF">
      <w:pPr>
        <w:pStyle w:val="ListParagraph"/>
        <w:numPr>
          <w:ilvl w:val="0"/>
          <w:numId w:val="6"/>
        </w:numPr>
        <w:spacing w:after="0" w:line="360" w:lineRule="auto"/>
        <w:jc w:val="both"/>
        <w:rPr>
          <w:rFonts w:ascii="Times New Roman" w:eastAsia="Times New Roman" w:hAnsi="Times New Roman" w:cs="Times New Roman"/>
          <w:b/>
          <w:color w:val="000000" w:themeColor="text1"/>
          <w:sz w:val="24"/>
          <w:szCs w:val="24"/>
          <w:lang w:eastAsia="en-IN"/>
        </w:rPr>
      </w:pPr>
      <w:r w:rsidRPr="007E43DF">
        <w:rPr>
          <w:rFonts w:ascii="Times New Roman" w:eastAsia="Times New Roman" w:hAnsi="Times New Roman" w:cs="Times New Roman"/>
          <w:b/>
          <w:color w:val="000000" w:themeColor="text1"/>
          <w:sz w:val="24"/>
          <w:szCs w:val="24"/>
          <w:lang w:eastAsia="en-IN"/>
        </w:rPr>
        <w:t>Number of registered mandis and traders in different states in India as on 31</w:t>
      </w:r>
      <w:r w:rsidRPr="007E43DF">
        <w:rPr>
          <w:rFonts w:ascii="Times New Roman" w:eastAsia="Times New Roman" w:hAnsi="Times New Roman" w:cs="Times New Roman"/>
          <w:b/>
          <w:color w:val="000000" w:themeColor="text1"/>
          <w:sz w:val="24"/>
          <w:szCs w:val="24"/>
          <w:vertAlign w:val="superscript"/>
          <w:lang w:eastAsia="en-IN"/>
        </w:rPr>
        <w:t>st</w:t>
      </w:r>
      <w:r w:rsidRPr="007E43DF">
        <w:rPr>
          <w:rFonts w:ascii="Times New Roman" w:eastAsia="Times New Roman" w:hAnsi="Times New Roman" w:cs="Times New Roman"/>
          <w:b/>
          <w:color w:val="000000" w:themeColor="text1"/>
          <w:sz w:val="24"/>
          <w:szCs w:val="24"/>
          <w:lang w:eastAsia="en-IN"/>
        </w:rPr>
        <w:t xml:space="preserve"> Jan,</w:t>
      </w:r>
      <w:r w:rsidR="007E43DF" w:rsidRPr="007E43DF">
        <w:rPr>
          <w:rFonts w:ascii="Times New Roman" w:eastAsia="Times New Roman" w:hAnsi="Times New Roman" w:cs="Times New Roman"/>
          <w:b/>
          <w:color w:val="000000" w:themeColor="text1"/>
          <w:sz w:val="24"/>
          <w:szCs w:val="24"/>
          <w:lang w:eastAsia="en-IN"/>
        </w:rPr>
        <w:t xml:space="preserve"> </w:t>
      </w:r>
      <w:r w:rsidRPr="007E43DF">
        <w:rPr>
          <w:rFonts w:ascii="Times New Roman" w:eastAsia="Times New Roman" w:hAnsi="Times New Roman" w:cs="Times New Roman"/>
          <w:b/>
          <w:color w:val="000000" w:themeColor="text1"/>
          <w:sz w:val="24"/>
          <w:szCs w:val="24"/>
          <w:lang w:eastAsia="en-IN"/>
        </w:rPr>
        <w:t>2024:</w:t>
      </w:r>
    </w:p>
    <w:tbl>
      <w:tblPr>
        <w:tblStyle w:val="TableGrid"/>
        <w:tblW w:w="0" w:type="auto"/>
        <w:jc w:val="center"/>
        <w:tblInd w:w="720" w:type="dxa"/>
        <w:tblLook w:val="04A0" w:firstRow="1" w:lastRow="0" w:firstColumn="1" w:lastColumn="0" w:noHBand="0" w:noVBand="1"/>
      </w:tblPr>
      <w:tblGrid>
        <w:gridCol w:w="2929"/>
        <w:gridCol w:w="2791"/>
        <w:gridCol w:w="2802"/>
      </w:tblGrid>
      <w:tr w:rsidR="00745A15" w:rsidRPr="00A63610" w:rsidTr="002D7BA6">
        <w:trPr>
          <w:trHeight w:val="676"/>
          <w:jc w:val="center"/>
        </w:trPr>
        <w:tc>
          <w:tcPr>
            <w:tcW w:w="2929" w:type="dxa"/>
          </w:tcPr>
          <w:p w:rsidR="00745A15" w:rsidRPr="00A63610" w:rsidRDefault="00745A15" w:rsidP="00745A15">
            <w:pPr>
              <w:pStyle w:val="ListParagraph"/>
              <w:tabs>
                <w:tab w:val="left" w:pos="1664"/>
              </w:tabs>
              <w:spacing w:after="100" w:afterAutospacing="1" w:line="360" w:lineRule="auto"/>
              <w:ind w:left="0"/>
              <w:jc w:val="center"/>
              <w:rPr>
                <w:rFonts w:ascii="Times New Roman" w:eastAsia="Times New Roman" w:hAnsi="Times New Roman" w:cs="Times New Roman"/>
                <w:b/>
                <w:color w:val="00B050"/>
                <w:lang w:eastAsia="en-IN"/>
              </w:rPr>
            </w:pPr>
            <w:r w:rsidRPr="00A63610">
              <w:rPr>
                <w:rFonts w:ascii="Times New Roman" w:eastAsia="Times New Roman" w:hAnsi="Times New Roman" w:cs="Times New Roman"/>
                <w:b/>
                <w:color w:val="00B050"/>
                <w:lang w:eastAsia="en-IN"/>
              </w:rPr>
              <w:t>State/ UTs</w:t>
            </w:r>
          </w:p>
        </w:tc>
        <w:tc>
          <w:tcPr>
            <w:tcW w:w="2791" w:type="dxa"/>
          </w:tcPr>
          <w:p w:rsidR="00745A15" w:rsidRPr="00A63610" w:rsidRDefault="00745A15" w:rsidP="00745A15">
            <w:pPr>
              <w:pStyle w:val="ListParagraph"/>
              <w:tabs>
                <w:tab w:val="left" w:pos="1664"/>
              </w:tabs>
              <w:spacing w:after="100" w:afterAutospacing="1" w:line="360" w:lineRule="auto"/>
              <w:ind w:left="0"/>
              <w:jc w:val="center"/>
              <w:rPr>
                <w:rFonts w:ascii="Times New Roman" w:eastAsia="Times New Roman" w:hAnsi="Times New Roman" w:cs="Times New Roman"/>
                <w:b/>
                <w:color w:val="00B050"/>
                <w:lang w:eastAsia="en-IN"/>
              </w:rPr>
            </w:pPr>
            <w:r w:rsidRPr="00A63610">
              <w:rPr>
                <w:rFonts w:ascii="Times New Roman" w:eastAsia="Times New Roman" w:hAnsi="Times New Roman" w:cs="Times New Roman"/>
                <w:b/>
                <w:color w:val="00B050"/>
                <w:lang w:eastAsia="en-IN"/>
              </w:rPr>
              <w:t>Mandis registered under e-NAM</w:t>
            </w:r>
          </w:p>
        </w:tc>
        <w:tc>
          <w:tcPr>
            <w:tcW w:w="2802" w:type="dxa"/>
          </w:tcPr>
          <w:p w:rsidR="00745A15" w:rsidRPr="00A63610" w:rsidRDefault="00745A15" w:rsidP="00745A15">
            <w:pPr>
              <w:pStyle w:val="ListParagraph"/>
              <w:tabs>
                <w:tab w:val="left" w:pos="1664"/>
              </w:tabs>
              <w:spacing w:after="100" w:afterAutospacing="1" w:line="360" w:lineRule="auto"/>
              <w:ind w:left="0"/>
              <w:jc w:val="center"/>
              <w:rPr>
                <w:rFonts w:ascii="Times New Roman" w:eastAsia="Times New Roman" w:hAnsi="Times New Roman" w:cs="Times New Roman"/>
                <w:b/>
                <w:color w:val="00B050"/>
                <w:lang w:eastAsia="en-IN"/>
              </w:rPr>
            </w:pPr>
            <w:r w:rsidRPr="00A63610">
              <w:rPr>
                <w:rFonts w:ascii="Times New Roman" w:eastAsia="Times New Roman" w:hAnsi="Times New Roman" w:cs="Times New Roman"/>
                <w:b/>
                <w:color w:val="00B050"/>
                <w:lang w:eastAsia="en-IN"/>
              </w:rPr>
              <w:t>Registered traders under e-NAM</w:t>
            </w:r>
          </w:p>
        </w:tc>
      </w:tr>
      <w:tr w:rsidR="00745A15" w:rsidRPr="00A63610" w:rsidTr="002D7BA6">
        <w:trPr>
          <w:trHeight w:val="616"/>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rPr>
                <w:rFonts w:ascii="Times New Roman" w:eastAsia="Times New Roman" w:hAnsi="Times New Roman" w:cs="Times New Roman"/>
                <w:color w:val="222222"/>
                <w:lang w:eastAsia="en-IN"/>
              </w:rPr>
            </w:pPr>
            <w:r w:rsidRPr="00A63610">
              <w:rPr>
                <w:rFonts w:ascii="Times New Roman" w:hAnsi="Times New Roman" w:cs="Times New Roman"/>
                <w:color w:val="171616"/>
                <w:shd w:val="clear" w:color="auto" w:fill="FFFFFF"/>
              </w:rPr>
              <w:t>ANDAMAN and</w:t>
            </w:r>
            <w:r w:rsidR="00C72F3D">
              <w:rPr>
                <w:rFonts w:ascii="Times New Roman" w:hAnsi="Times New Roman" w:cs="Times New Roman"/>
                <w:color w:val="171616"/>
                <w:shd w:val="clear" w:color="auto" w:fill="FFFFFF"/>
              </w:rPr>
              <w:t xml:space="preserve"> </w:t>
            </w:r>
            <w:r w:rsidRPr="00A63610">
              <w:rPr>
                <w:rFonts w:ascii="Times New Roman" w:hAnsi="Times New Roman" w:cs="Times New Roman"/>
                <w:color w:val="171616"/>
                <w:shd w:val="clear" w:color="auto" w:fill="FFFFFF"/>
              </w:rPr>
              <w:t xml:space="preserve"> NICOBAR Island</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4</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AP</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33</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3749</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ASSAM</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3</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8</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BIHAR</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20</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195</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CHANDIGARH</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121</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CHATTISGARH</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20</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3250</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GOA</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7</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877</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GUJARAT</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144</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10140</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HARYANA</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108</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16787</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HIMACHAL PRADESH</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38</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2260</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JAMMU And KASHMIR</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17</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2640</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JHARKHAND</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19</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2486</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KARNATAKA</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5</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743</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KERALA</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6</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430</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MP</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139</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23775</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MAHARASHTRA</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133</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22210</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NAGALAND</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19</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94</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ODISHA</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66</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9052</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PUDUCHERRY</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216</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PUNJAB</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79</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2953</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RAJASTHAN</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145</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84630</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TN</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157</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10748</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TELANGANA</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57</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6221</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TRIPURA</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7</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22</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lastRenderedPageBreak/>
              <w:t>UP</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125</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39268</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UTTARAKHAND</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20</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5807</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WB</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18</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color w:val="222222"/>
                <w:lang w:eastAsia="en-IN"/>
              </w:rPr>
            </w:pPr>
            <w:r w:rsidRPr="00A63610">
              <w:rPr>
                <w:rFonts w:ascii="Times New Roman" w:eastAsia="Times New Roman" w:hAnsi="Times New Roman" w:cs="Times New Roman"/>
                <w:color w:val="222222"/>
                <w:lang w:eastAsia="en-IN"/>
              </w:rPr>
              <w:t>4939</w:t>
            </w:r>
          </w:p>
        </w:tc>
      </w:tr>
      <w:tr w:rsidR="00745A15" w:rsidRPr="00A63610" w:rsidTr="002D7BA6">
        <w:trPr>
          <w:jc w:val="center"/>
        </w:trPr>
        <w:tc>
          <w:tcPr>
            <w:tcW w:w="2929"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b/>
                <w:color w:val="222222"/>
                <w:lang w:eastAsia="en-IN"/>
              </w:rPr>
            </w:pPr>
            <w:r w:rsidRPr="00A63610">
              <w:rPr>
                <w:rFonts w:ascii="Times New Roman" w:eastAsia="Times New Roman" w:hAnsi="Times New Roman" w:cs="Times New Roman"/>
                <w:b/>
                <w:color w:val="222222"/>
                <w:lang w:eastAsia="en-IN"/>
              </w:rPr>
              <w:t>TOTAL</w:t>
            </w:r>
          </w:p>
        </w:tc>
        <w:tc>
          <w:tcPr>
            <w:tcW w:w="2791"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b/>
                <w:color w:val="222222"/>
                <w:lang w:eastAsia="en-IN"/>
              </w:rPr>
            </w:pPr>
            <w:r w:rsidRPr="00A63610">
              <w:rPr>
                <w:rFonts w:ascii="Times New Roman" w:eastAsia="Times New Roman" w:hAnsi="Times New Roman" w:cs="Times New Roman"/>
                <w:b/>
                <w:color w:val="222222"/>
                <w:lang w:eastAsia="en-IN"/>
              </w:rPr>
              <w:t>1389</w:t>
            </w:r>
          </w:p>
        </w:tc>
        <w:tc>
          <w:tcPr>
            <w:tcW w:w="2802" w:type="dxa"/>
          </w:tcPr>
          <w:p w:rsidR="00745A15" w:rsidRPr="00A63610" w:rsidRDefault="00745A15" w:rsidP="00C30127">
            <w:pPr>
              <w:pStyle w:val="ListParagraph"/>
              <w:tabs>
                <w:tab w:val="left" w:pos="1664"/>
              </w:tabs>
              <w:spacing w:before="100" w:beforeAutospacing="1" w:after="100" w:afterAutospacing="1" w:line="360" w:lineRule="auto"/>
              <w:ind w:left="0"/>
              <w:jc w:val="both"/>
              <w:rPr>
                <w:rFonts w:ascii="Times New Roman" w:eastAsia="Times New Roman" w:hAnsi="Times New Roman" w:cs="Times New Roman"/>
                <w:b/>
                <w:color w:val="222222"/>
                <w:lang w:eastAsia="en-IN"/>
              </w:rPr>
            </w:pPr>
            <w:r w:rsidRPr="00A63610">
              <w:rPr>
                <w:rFonts w:ascii="Times New Roman" w:eastAsia="Times New Roman" w:hAnsi="Times New Roman" w:cs="Times New Roman"/>
                <w:b/>
                <w:color w:val="222222"/>
                <w:lang w:eastAsia="en-IN"/>
              </w:rPr>
              <w:t>253725</w:t>
            </w:r>
          </w:p>
        </w:tc>
      </w:tr>
    </w:tbl>
    <w:p w:rsidR="00745A15" w:rsidRDefault="008F52CB" w:rsidP="00745A15">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val="en-US" w:eastAsia="en-IN"/>
        </w:rPr>
        <w:t>Table</w:t>
      </w:r>
      <w:r w:rsidR="0030180B" w:rsidRPr="008F52CB">
        <w:rPr>
          <w:rFonts w:ascii="Times New Roman" w:eastAsia="Times New Roman" w:hAnsi="Times New Roman" w:cs="Times New Roman"/>
          <w:b/>
          <w:sz w:val="24"/>
          <w:szCs w:val="24"/>
          <w:lang w:val="en-US" w:eastAsia="en-IN"/>
        </w:rPr>
        <w:t xml:space="preserve"> 2</w:t>
      </w:r>
      <w:r w:rsidR="00745A15" w:rsidRPr="008F52CB">
        <w:rPr>
          <w:rFonts w:ascii="Times New Roman" w:eastAsia="Times New Roman" w:hAnsi="Times New Roman" w:cs="Times New Roman"/>
          <w:b/>
          <w:sz w:val="24"/>
          <w:szCs w:val="24"/>
          <w:lang w:val="en-US" w:eastAsia="en-IN"/>
        </w:rPr>
        <w:t>:</w:t>
      </w:r>
      <w:r w:rsidR="00745A15" w:rsidRPr="00781A19">
        <w:rPr>
          <w:rFonts w:ascii="Times New Roman" w:eastAsia="Times New Roman" w:hAnsi="Times New Roman" w:cs="Times New Roman"/>
          <w:sz w:val="24"/>
          <w:szCs w:val="24"/>
          <w:lang w:val="en-US" w:eastAsia="en-IN"/>
        </w:rPr>
        <w:t xml:space="preserve"> </w:t>
      </w:r>
      <w:r w:rsidR="00745A15" w:rsidRPr="00781A19">
        <w:rPr>
          <w:rFonts w:ascii="Times New Roman" w:eastAsia="Times New Roman" w:hAnsi="Times New Roman" w:cs="Times New Roman"/>
          <w:sz w:val="24"/>
          <w:szCs w:val="24"/>
          <w:lang w:eastAsia="en-IN"/>
        </w:rPr>
        <w:t xml:space="preserve">Number of registered mandis and traders under e-NAM scheme </w:t>
      </w:r>
    </w:p>
    <w:p w:rsidR="00B70FE6" w:rsidRPr="00B70FE6" w:rsidRDefault="00745A15" w:rsidP="00B70FE6">
      <w:pPr>
        <w:spacing w:after="0" w:line="240" w:lineRule="auto"/>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sz w:val="24"/>
          <w:szCs w:val="24"/>
          <w:lang w:eastAsia="en-IN"/>
        </w:rPr>
        <w:t>in different states in India</w:t>
      </w:r>
    </w:p>
    <w:p w:rsidR="00745A15" w:rsidRPr="004943E1" w:rsidRDefault="00745A15" w:rsidP="00745A15">
      <w:pPr>
        <w:spacing w:after="0" w:line="360" w:lineRule="auto"/>
        <w:jc w:val="center"/>
        <w:rPr>
          <w:rFonts w:ascii="Times New Roman" w:eastAsia="Times New Roman" w:hAnsi="Times New Roman" w:cs="Times New Roman"/>
          <w:sz w:val="24"/>
          <w:szCs w:val="24"/>
          <w:lang w:val="en-US" w:eastAsia="en-IN"/>
        </w:rPr>
      </w:pPr>
      <w:r w:rsidRPr="00781A19">
        <w:rPr>
          <w:rFonts w:ascii="Times New Roman" w:eastAsia="Times New Roman" w:hAnsi="Times New Roman" w:cs="Times New Roman"/>
          <w:b/>
          <w:sz w:val="24"/>
          <w:szCs w:val="24"/>
          <w:lang w:val="en-US" w:eastAsia="en-IN"/>
        </w:rPr>
        <w:t>(</w:t>
      </w:r>
      <w:r w:rsidRPr="00781A19">
        <w:rPr>
          <w:rFonts w:ascii="Times New Roman" w:eastAsia="Times New Roman" w:hAnsi="Times New Roman" w:cs="Times New Roman"/>
          <w:b/>
          <w:sz w:val="24"/>
          <w:szCs w:val="24"/>
          <w:lang w:eastAsia="en-IN"/>
        </w:rPr>
        <w:t xml:space="preserve">Source: </w:t>
      </w:r>
      <w:hyperlink r:id="rId9" w:history="1">
        <w:r w:rsidR="00B70FE6" w:rsidRPr="00781A19">
          <w:rPr>
            <w:rStyle w:val="Hyperlink"/>
            <w:rFonts w:ascii="Times New Roman" w:hAnsi="Times New Roman" w:cs="Times New Roman"/>
            <w:sz w:val="24"/>
            <w:szCs w:val="24"/>
            <w:lang w:val="en-US"/>
          </w:rPr>
          <w:t>https://enam.gov.in/</w:t>
        </w:r>
      </w:hyperlink>
      <w:r w:rsidR="004943E1">
        <w:rPr>
          <w:rStyle w:val="Hyperlink"/>
          <w:rFonts w:ascii="Times New Roman" w:hAnsi="Times New Roman" w:cs="Times New Roman"/>
          <w:color w:val="auto"/>
          <w:sz w:val="24"/>
          <w:szCs w:val="24"/>
          <w:u w:val="none"/>
          <w:lang w:val="en-US"/>
        </w:rPr>
        <w:t>)</w:t>
      </w:r>
    </w:p>
    <w:p w:rsidR="007E43DF" w:rsidRPr="007E43DF" w:rsidRDefault="00745A15" w:rsidP="007E43DF">
      <w:pPr>
        <w:pStyle w:val="ListParagraph"/>
        <w:numPr>
          <w:ilvl w:val="0"/>
          <w:numId w:val="6"/>
        </w:numPr>
        <w:spacing w:after="0"/>
        <w:rPr>
          <w:rFonts w:ascii="Times New Roman" w:eastAsia="Times New Roman" w:hAnsi="Times New Roman" w:cs="Times New Roman"/>
          <w:b/>
          <w:color w:val="000000" w:themeColor="text1"/>
          <w:sz w:val="24"/>
          <w:szCs w:val="24"/>
          <w:lang w:eastAsia="en-IN"/>
        </w:rPr>
      </w:pPr>
      <w:r w:rsidRPr="007E43DF">
        <w:rPr>
          <w:rFonts w:ascii="Times New Roman" w:eastAsia="Times New Roman" w:hAnsi="Times New Roman" w:cs="Times New Roman"/>
          <w:b/>
          <w:color w:val="000000" w:themeColor="text1"/>
          <w:sz w:val="24"/>
          <w:szCs w:val="24"/>
          <w:lang w:eastAsia="en-IN"/>
        </w:rPr>
        <w:t>Ranking of different states on the basis of number of reg</w:t>
      </w:r>
      <w:r w:rsidR="007E43DF" w:rsidRPr="007E43DF">
        <w:rPr>
          <w:rFonts w:ascii="Times New Roman" w:eastAsia="Times New Roman" w:hAnsi="Times New Roman" w:cs="Times New Roman"/>
          <w:b/>
          <w:color w:val="000000" w:themeColor="text1"/>
          <w:sz w:val="24"/>
          <w:szCs w:val="24"/>
          <w:lang w:eastAsia="en-IN"/>
        </w:rPr>
        <w:t>istered stakeholders under this</w:t>
      </w:r>
      <w:r w:rsidR="00224185">
        <w:rPr>
          <w:rFonts w:ascii="Times New Roman" w:eastAsia="Times New Roman" w:hAnsi="Times New Roman" w:cs="Times New Roman"/>
          <w:b/>
          <w:color w:val="000000" w:themeColor="text1"/>
          <w:sz w:val="24"/>
          <w:szCs w:val="24"/>
          <w:lang w:eastAsia="en-IN"/>
        </w:rPr>
        <w:t xml:space="preserve"> </w:t>
      </w:r>
      <w:r w:rsidRPr="007E43DF">
        <w:rPr>
          <w:rFonts w:ascii="Times New Roman" w:eastAsia="Times New Roman" w:hAnsi="Times New Roman" w:cs="Times New Roman"/>
          <w:b/>
          <w:color w:val="000000" w:themeColor="text1"/>
          <w:sz w:val="24"/>
          <w:szCs w:val="24"/>
          <w:lang w:eastAsia="en-IN"/>
        </w:rPr>
        <w:t>scheme:</w:t>
      </w:r>
    </w:p>
    <w:p w:rsidR="00745A15" w:rsidRPr="007E43DF" w:rsidRDefault="00745A15" w:rsidP="00224185">
      <w:pPr>
        <w:pStyle w:val="ListParagraph"/>
        <w:spacing w:after="0" w:line="360" w:lineRule="auto"/>
        <w:jc w:val="both"/>
        <w:rPr>
          <w:rFonts w:ascii="Times New Roman" w:eastAsia="Times New Roman" w:hAnsi="Times New Roman" w:cs="Times New Roman"/>
          <w:b/>
          <w:color w:val="000000" w:themeColor="text1"/>
          <w:sz w:val="24"/>
          <w:szCs w:val="24"/>
          <w:lang w:eastAsia="en-IN"/>
        </w:rPr>
      </w:pPr>
      <w:r w:rsidRPr="007E43DF">
        <w:rPr>
          <w:rFonts w:ascii="Times New Roman" w:eastAsia="Times New Roman" w:hAnsi="Times New Roman" w:cs="Times New Roman"/>
          <w:sz w:val="24"/>
          <w:szCs w:val="24"/>
          <w:lang w:eastAsia="en-IN"/>
        </w:rPr>
        <w:t xml:space="preserve">Uttar Pradesh ranks first in the number of registered farmers under e-NAM scheme as on February, 2024 having more than 33 lakhs farmers joined this scheme which is almost 18.65% of total registered farmers. Madhya Pradesh occupies second position and Haryana third position. </w:t>
      </w:r>
    </w:p>
    <w:p w:rsidR="00745A15" w:rsidRPr="00781A19" w:rsidRDefault="00745A15" w:rsidP="007E43DF">
      <w:pPr>
        <w:spacing w:after="0" w:line="360" w:lineRule="auto"/>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noProof/>
          <w:sz w:val="24"/>
          <w:szCs w:val="24"/>
          <w:lang w:eastAsia="en-IN"/>
        </w:rPr>
        <w:drawing>
          <wp:inline distT="0" distB="0" distL="0" distR="0" wp14:anchorId="7CABDE1E" wp14:editId="68751C68">
            <wp:extent cx="4646428" cy="2052084"/>
            <wp:effectExtent l="38100" t="19050" r="40005" b="819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5A15" w:rsidRDefault="008F52CB" w:rsidP="00745A15">
      <w:pPr>
        <w:tabs>
          <w:tab w:val="left" w:pos="3690"/>
        </w:tabs>
        <w:spacing w:after="0" w:line="240" w:lineRule="auto"/>
        <w:jc w:val="center"/>
        <w:rPr>
          <w:rFonts w:ascii="Times New Roman" w:eastAsia="Times New Roman" w:hAnsi="Times New Roman" w:cs="Times New Roman"/>
          <w:bCs/>
          <w:sz w:val="24"/>
          <w:szCs w:val="24"/>
          <w:lang w:val="en-US" w:eastAsia="en-IN"/>
        </w:rPr>
      </w:pPr>
      <w:r w:rsidRPr="008F52CB">
        <w:rPr>
          <w:rFonts w:ascii="Times New Roman" w:eastAsia="Times New Roman" w:hAnsi="Times New Roman" w:cs="Times New Roman"/>
          <w:b/>
          <w:bCs/>
          <w:sz w:val="24"/>
          <w:szCs w:val="24"/>
          <w:lang w:val="en-US" w:eastAsia="en-IN"/>
        </w:rPr>
        <w:t>Fig 1</w:t>
      </w:r>
      <w:r w:rsidR="00745A15" w:rsidRPr="008F52CB">
        <w:rPr>
          <w:rFonts w:ascii="Times New Roman" w:eastAsia="Times New Roman" w:hAnsi="Times New Roman" w:cs="Times New Roman"/>
          <w:b/>
          <w:bCs/>
          <w:sz w:val="24"/>
          <w:szCs w:val="24"/>
          <w:lang w:val="en-US" w:eastAsia="en-IN"/>
        </w:rPr>
        <w:t>:</w:t>
      </w:r>
      <w:r w:rsidR="00745A15" w:rsidRPr="00781A19">
        <w:rPr>
          <w:rFonts w:ascii="Times New Roman" w:eastAsia="Times New Roman" w:hAnsi="Times New Roman" w:cs="Times New Roman"/>
          <w:bCs/>
          <w:sz w:val="24"/>
          <w:szCs w:val="24"/>
          <w:lang w:val="en-US" w:eastAsia="en-IN"/>
        </w:rPr>
        <w:t xml:space="preserve"> State-wise farmers' par</w:t>
      </w:r>
      <w:r w:rsidR="00745A15">
        <w:rPr>
          <w:rFonts w:ascii="Times New Roman" w:eastAsia="Times New Roman" w:hAnsi="Times New Roman" w:cs="Times New Roman"/>
          <w:bCs/>
          <w:sz w:val="24"/>
          <w:szCs w:val="24"/>
          <w:lang w:val="en-US" w:eastAsia="en-IN"/>
        </w:rPr>
        <w:t>ticipation in e-NAM (in number)</w:t>
      </w:r>
    </w:p>
    <w:p w:rsidR="00745A15" w:rsidRPr="0047462F" w:rsidRDefault="00745A15" w:rsidP="00745A15">
      <w:pPr>
        <w:tabs>
          <w:tab w:val="left" w:pos="3690"/>
        </w:tabs>
        <w:spacing w:after="0" w:line="360" w:lineRule="auto"/>
        <w:jc w:val="center"/>
        <w:rPr>
          <w:rFonts w:ascii="Times New Roman" w:eastAsia="Times New Roman" w:hAnsi="Times New Roman" w:cs="Times New Roman"/>
          <w:bCs/>
          <w:sz w:val="24"/>
          <w:szCs w:val="24"/>
          <w:lang w:val="en-US" w:eastAsia="en-IN"/>
        </w:rPr>
      </w:pPr>
      <w:r w:rsidRPr="00781A19">
        <w:rPr>
          <w:rFonts w:ascii="Times New Roman" w:eastAsia="Times New Roman" w:hAnsi="Times New Roman" w:cs="Times New Roman"/>
          <w:b/>
          <w:bCs/>
          <w:sz w:val="24"/>
          <w:szCs w:val="24"/>
          <w:lang w:val="en-US" w:eastAsia="en-IN"/>
        </w:rPr>
        <w:t>(Source:</w:t>
      </w:r>
      <w:r w:rsidRPr="0047462F">
        <w:rPr>
          <w:rFonts w:ascii="Times New Roman" w:hAnsi="Times New Roman" w:cs="Times New Roman"/>
          <w:sz w:val="24"/>
          <w:szCs w:val="24"/>
        </w:rPr>
        <w:t xml:space="preserve"> </w:t>
      </w:r>
      <w:hyperlink r:id="rId11" w:history="1">
        <w:r w:rsidRPr="00781A19">
          <w:rPr>
            <w:rStyle w:val="Hyperlink"/>
            <w:rFonts w:ascii="Times New Roman" w:hAnsi="Times New Roman" w:cs="Times New Roman"/>
            <w:sz w:val="24"/>
            <w:szCs w:val="24"/>
            <w:lang w:val="en-US"/>
          </w:rPr>
          <w:t>https://enam.gov.in/</w:t>
        </w:r>
      </w:hyperlink>
      <w:r w:rsidRPr="0047462F">
        <w:rPr>
          <w:rFonts w:ascii="Times New Roman" w:eastAsia="Times New Roman" w:hAnsi="Times New Roman" w:cs="Times New Roman"/>
          <w:b/>
          <w:bCs/>
          <w:sz w:val="24"/>
          <w:szCs w:val="24"/>
          <w:lang w:val="en-US" w:eastAsia="en-IN"/>
        </w:rPr>
        <w:t>)</w:t>
      </w:r>
    </w:p>
    <w:p w:rsidR="00745A15" w:rsidRPr="00781A19" w:rsidRDefault="00745A15" w:rsidP="007E43DF">
      <w:pPr>
        <w:tabs>
          <w:tab w:val="left" w:pos="3690"/>
        </w:tabs>
        <w:spacing w:after="0" w:line="360" w:lineRule="auto"/>
        <w:ind w:left="709"/>
        <w:jc w:val="both"/>
        <w:rPr>
          <w:rFonts w:ascii="Times New Roman" w:eastAsia="Times New Roman" w:hAnsi="Times New Roman" w:cs="Times New Roman"/>
          <w:sz w:val="24"/>
          <w:szCs w:val="24"/>
          <w:lang w:eastAsia="en-IN"/>
        </w:rPr>
      </w:pPr>
      <w:r w:rsidRPr="00781A19">
        <w:rPr>
          <w:rFonts w:ascii="Times New Roman" w:eastAsia="Times New Roman" w:hAnsi="Times New Roman" w:cs="Times New Roman"/>
          <w:sz w:val="24"/>
          <w:szCs w:val="24"/>
          <w:lang w:eastAsia="en-IN"/>
        </w:rPr>
        <w:t>On the basis of number of registered traders Rajasthan ranks first having 84693 registered traders which is almost 33.38% of total registered traders followed by Uttar Pradesh, Maharashtra and Haryana.</w:t>
      </w:r>
    </w:p>
    <w:p w:rsidR="00745A15" w:rsidRPr="00781A19" w:rsidRDefault="00745A15" w:rsidP="00745A15">
      <w:pPr>
        <w:tabs>
          <w:tab w:val="left" w:pos="3690"/>
        </w:tabs>
        <w:spacing w:after="0" w:line="360" w:lineRule="auto"/>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noProof/>
          <w:sz w:val="24"/>
          <w:szCs w:val="24"/>
          <w:lang w:eastAsia="en-IN"/>
        </w:rPr>
        <w:drawing>
          <wp:inline distT="0" distB="0" distL="0" distR="0" wp14:anchorId="2CC7BEB4" wp14:editId="05EBB917">
            <wp:extent cx="4731488" cy="1998921"/>
            <wp:effectExtent l="38100" t="19050" r="31115" b="781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5A15" w:rsidRPr="00781A19" w:rsidRDefault="008F52CB" w:rsidP="00745A15">
      <w:pPr>
        <w:tabs>
          <w:tab w:val="left" w:pos="3690"/>
        </w:tabs>
        <w:spacing w:after="0" w:line="240" w:lineRule="auto"/>
        <w:jc w:val="center"/>
        <w:rPr>
          <w:rFonts w:ascii="Times New Roman" w:eastAsia="Times New Roman" w:hAnsi="Times New Roman" w:cs="Times New Roman"/>
          <w:sz w:val="24"/>
          <w:szCs w:val="24"/>
          <w:lang w:eastAsia="en-IN"/>
        </w:rPr>
      </w:pPr>
      <w:r w:rsidRPr="008F52CB">
        <w:rPr>
          <w:rFonts w:ascii="Times New Roman" w:eastAsia="Times New Roman" w:hAnsi="Times New Roman" w:cs="Times New Roman"/>
          <w:b/>
          <w:bCs/>
          <w:sz w:val="24"/>
          <w:szCs w:val="24"/>
          <w:lang w:val="en-US" w:eastAsia="en-IN"/>
        </w:rPr>
        <w:t>Fig 2</w:t>
      </w:r>
      <w:r w:rsidR="00745A15" w:rsidRPr="008F52CB">
        <w:rPr>
          <w:rFonts w:ascii="Times New Roman" w:eastAsia="Times New Roman" w:hAnsi="Times New Roman" w:cs="Times New Roman"/>
          <w:b/>
          <w:bCs/>
          <w:sz w:val="24"/>
          <w:szCs w:val="24"/>
          <w:lang w:val="en-US" w:eastAsia="en-IN"/>
        </w:rPr>
        <w:t>:</w:t>
      </w:r>
      <w:r w:rsidR="00745A15" w:rsidRPr="00781A19">
        <w:rPr>
          <w:rFonts w:ascii="Times New Roman" w:eastAsia="Times New Roman" w:hAnsi="Times New Roman" w:cs="Times New Roman"/>
          <w:bCs/>
          <w:sz w:val="24"/>
          <w:szCs w:val="24"/>
          <w:lang w:val="en-US" w:eastAsia="en-IN"/>
        </w:rPr>
        <w:t xml:space="preserve"> State-wise traders' participation in e-NAM (in number)</w:t>
      </w:r>
    </w:p>
    <w:p w:rsidR="00745A15" w:rsidRPr="0047462F" w:rsidRDefault="00745A15" w:rsidP="00745A15">
      <w:pPr>
        <w:spacing w:after="0" w:line="360" w:lineRule="auto"/>
        <w:ind w:left="720"/>
        <w:jc w:val="center"/>
        <w:rPr>
          <w:rFonts w:ascii="Times New Roman" w:hAnsi="Times New Roman" w:cs="Times New Roman"/>
          <w:sz w:val="24"/>
          <w:szCs w:val="24"/>
        </w:rPr>
      </w:pPr>
      <w:r w:rsidRPr="00781A19">
        <w:rPr>
          <w:rFonts w:ascii="Times New Roman" w:eastAsia="Times New Roman" w:hAnsi="Times New Roman" w:cs="Times New Roman"/>
          <w:b/>
          <w:sz w:val="24"/>
          <w:szCs w:val="24"/>
          <w:lang w:eastAsia="en-IN"/>
        </w:rPr>
        <w:t xml:space="preserve">(Source: </w:t>
      </w:r>
      <w:hyperlink r:id="rId13" w:history="1">
        <w:r w:rsidRPr="00781A19">
          <w:rPr>
            <w:rStyle w:val="Hyperlink"/>
            <w:rFonts w:ascii="Times New Roman" w:hAnsi="Times New Roman" w:cs="Times New Roman"/>
            <w:sz w:val="24"/>
            <w:szCs w:val="24"/>
            <w:lang w:val="en-US"/>
          </w:rPr>
          <w:t>https://enam.gov.in/</w:t>
        </w:r>
      </w:hyperlink>
      <w:r w:rsidRPr="0047462F">
        <w:rPr>
          <w:rFonts w:ascii="Times New Roman" w:eastAsia="Times New Roman" w:hAnsi="Times New Roman" w:cs="Times New Roman"/>
          <w:b/>
          <w:sz w:val="24"/>
          <w:szCs w:val="24"/>
          <w:lang w:eastAsia="en-IN"/>
        </w:rPr>
        <w:t>)</w:t>
      </w:r>
    </w:p>
    <w:p w:rsidR="00745A15" w:rsidRPr="00781A19" w:rsidRDefault="00745A15" w:rsidP="007E43DF">
      <w:pPr>
        <w:tabs>
          <w:tab w:val="left" w:pos="3690"/>
        </w:tabs>
        <w:spacing w:after="0" w:line="360" w:lineRule="auto"/>
        <w:ind w:left="709"/>
        <w:jc w:val="both"/>
        <w:rPr>
          <w:rFonts w:ascii="Times New Roman" w:eastAsia="Times New Roman" w:hAnsi="Times New Roman" w:cs="Times New Roman"/>
          <w:sz w:val="24"/>
          <w:szCs w:val="24"/>
          <w:lang w:val="en-US" w:eastAsia="en-IN"/>
        </w:rPr>
      </w:pPr>
      <w:r w:rsidRPr="00781A19">
        <w:rPr>
          <w:rFonts w:ascii="Times New Roman" w:eastAsia="Times New Roman" w:hAnsi="Times New Roman" w:cs="Times New Roman"/>
          <w:sz w:val="24"/>
          <w:szCs w:val="24"/>
          <w:lang w:val="en-US" w:eastAsia="en-IN"/>
        </w:rPr>
        <w:t xml:space="preserve">Highest number of FPOs registered in </w:t>
      </w:r>
      <w:r w:rsidRPr="00781A19">
        <w:rPr>
          <w:rFonts w:ascii="Times New Roman" w:eastAsia="Times New Roman" w:hAnsi="Times New Roman" w:cs="Times New Roman"/>
          <w:bCs/>
          <w:sz w:val="24"/>
          <w:szCs w:val="24"/>
          <w:lang w:val="en-US" w:eastAsia="en-IN"/>
        </w:rPr>
        <w:t>Orissa (451)</w:t>
      </w:r>
      <w:r w:rsidRPr="00781A19">
        <w:rPr>
          <w:rFonts w:ascii="Times New Roman" w:eastAsia="Times New Roman" w:hAnsi="Times New Roman" w:cs="Times New Roman"/>
          <w:b/>
          <w:bCs/>
          <w:sz w:val="24"/>
          <w:szCs w:val="24"/>
          <w:lang w:val="en-US" w:eastAsia="en-IN"/>
        </w:rPr>
        <w:t xml:space="preserve"> </w:t>
      </w:r>
      <w:r w:rsidRPr="00781A19">
        <w:rPr>
          <w:rFonts w:ascii="Times New Roman" w:eastAsia="Times New Roman" w:hAnsi="Times New Roman" w:cs="Times New Roman"/>
          <w:bCs/>
          <w:sz w:val="24"/>
          <w:szCs w:val="24"/>
          <w:lang w:val="en-US" w:eastAsia="en-IN"/>
        </w:rPr>
        <w:t>which is almost 12.85%</w:t>
      </w:r>
      <w:r w:rsidRPr="00781A19">
        <w:rPr>
          <w:rFonts w:ascii="Times New Roman" w:eastAsia="Times New Roman" w:hAnsi="Times New Roman" w:cs="Times New Roman"/>
          <w:sz w:val="24"/>
          <w:szCs w:val="24"/>
          <w:lang w:val="en-US" w:eastAsia="en-IN"/>
        </w:rPr>
        <w:t>, followed by Uttar Pradesh (358), Maharashtra (323), Rajasthan (286) and West Bengal (285).</w:t>
      </w:r>
    </w:p>
    <w:p w:rsidR="00745A15" w:rsidRPr="00781A19" w:rsidRDefault="00745A15" w:rsidP="00745A15">
      <w:pPr>
        <w:tabs>
          <w:tab w:val="left" w:pos="3690"/>
        </w:tabs>
        <w:spacing w:after="0" w:line="360" w:lineRule="auto"/>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noProof/>
          <w:sz w:val="24"/>
          <w:szCs w:val="24"/>
          <w:lang w:eastAsia="en-IN"/>
        </w:rPr>
        <w:lastRenderedPageBreak/>
        <w:drawing>
          <wp:inline distT="0" distB="0" distL="0" distR="0" wp14:anchorId="2193577B" wp14:editId="2C8FC853">
            <wp:extent cx="4976037" cy="2232837"/>
            <wp:effectExtent l="38100" t="19050" r="34290" b="723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45A15" w:rsidRPr="00781A19" w:rsidRDefault="008F52CB" w:rsidP="00745A15">
      <w:pPr>
        <w:tabs>
          <w:tab w:val="left" w:pos="3690"/>
        </w:tabs>
        <w:spacing w:after="0" w:line="240" w:lineRule="auto"/>
        <w:jc w:val="center"/>
        <w:rPr>
          <w:rFonts w:ascii="Times New Roman" w:eastAsia="Times New Roman" w:hAnsi="Times New Roman" w:cs="Times New Roman"/>
          <w:sz w:val="24"/>
          <w:szCs w:val="24"/>
          <w:lang w:eastAsia="en-IN"/>
        </w:rPr>
      </w:pPr>
      <w:r w:rsidRPr="008F52CB">
        <w:rPr>
          <w:rFonts w:ascii="Times New Roman" w:eastAsia="Times New Roman" w:hAnsi="Times New Roman" w:cs="Times New Roman"/>
          <w:b/>
          <w:bCs/>
          <w:sz w:val="24"/>
          <w:szCs w:val="24"/>
          <w:lang w:val="en-US" w:eastAsia="en-IN"/>
        </w:rPr>
        <w:t>Fig 3</w:t>
      </w:r>
      <w:r w:rsidR="00745A15" w:rsidRPr="008F52CB">
        <w:rPr>
          <w:rFonts w:ascii="Times New Roman" w:eastAsia="Times New Roman" w:hAnsi="Times New Roman" w:cs="Times New Roman"/>
          <w:b/>
          <w:bCs/>
          <w:sz w:val="24"/>
          <w:szCs w:val="24"/>
          <w:lang w:val="en-US" w:eastAsia="en-IN"/>
        </w:rPr>
        <w:t>:</w:t>
      </w:r>
      <w:r w:rsidR="00745A15" w:rsidRPr="008F52CB">
        <w:rPr>
          <w:rFonts w:ascii="Times New Roman" w:eastAsia="Times New Roman" w:hAnsi="Times New Roman" w:cs="Times New Roman"/>
          <w:bCs/>
          <w:sz w:val="24"/>
          <w:szCs w:val="24"/>
          <w:lang w:val="en-US" w:eastAsia="en-IN"/>
        </w:rPr>
        <w:t xml:space="preserve"> </w:t>
      </w:r>
      <w:r w:rsidR="00745A15" w:rsidRPr="00781A19">
        <w:rPr>
          <w:rFonts w:ascii="Times New Roman" w:eastAsia="Times New Roman" w:hAnsi="Times New Roman" w:cs="Times New Roman"/>
          <w:bCs/>
          <w:sz w:val="24"/>
          <w:szCs w:val="24"/>
          <w:lang w:val="en-US" w:eastAsia="en-IN"/>
        </w:rPr>
        <w:t>State-wise registered FPOs in e-NAM (in number)</w:t>
      </w:r>
    </w:p>
    <w:p w:rsidR="00745A15" w:rsidRPr="0047462F" w:rsidRDefault="00745A15" w:rsidP="00745A15">
      <w:pPr>
        <w:spacing w:after="0" w:line="360" w:lineRule="auto"/>
        <w:ind w:left="720"/>
        <w:jc w:val="center"/>
        <w:rPr>
          <w:rFonts w:ascii="Times New Roman" w:hAnsi="Times New Roman" w:cs="Times New Roman"/>
          <w:sz w:val="24"/>
          <w:szCs w:val="24"/>
        </w:rPr>
      </w:pPr>
      <w:r w:rsidRPr="00781A19">
        <w:rPr>
          <w:rFonts w:ascii="Times New Roman" w:eastAsia="Times New Roman" w:hAnsi="Times New Roman" w:cs="Times New Roman"/>
          <w:b/>
          <w:sz w:val="24"/>
          <w:szCs w:val="24"/>
          <w:lang w:eastAsia="en-IN"/>
        </w:rPr>
        <w:t xml:space="preserve">(Source: </w:t>
      </w:r>
      <w:hyperlink r:id="rId15" w:history="1">
        <w:r w:rsidRPr="00781A19">
          <w:rPr>
            <w:rStyle w:val="Hyperlink"/>
            <w:rFonts w:ascii="Times New Roman" w:hAnsi="Times New Roman" w:cs="Times New Roman"/>
            <w:sz w:val="24"/>
            <w:szCs w:val="24"/>
            <w:lang w:val="en-US"/>
          </w:rPr>
          <w:t>https://enam.gov.in/</w:t>
        </w:r>
      </w:hyperlink>
      <w:r w:rsidRPr="0047462F">
        <w:rPr>
          <w:rFonts w:ascii="Times New Roman" w:eastAsia="Times New Roman" w:hAnsi="Times New Roman" w:cs="Times New Roman"/>
          <w:b/>
          <w:sz w:val="24"/>
          <w:szCs w:val="24"/>
          <w:lang w:eastAsia="en-IN"/>
        </w:rPr>
        <w:t>)</w:t>
      </w:r>
    </w:p>
    <w:p w:rsidR="00745A15" w:rsidRPr="00781A19" w:rsidRDefault="00745A15" w:rsidP="007E43DF">
      <w:pPr>
        <w:tabs>
          <w:tab w:val="left" w:pos="3690"/>
        </w:tabs>
        <w:spacing w:after="0" w:line="360" w:lineRule="auto"/>
        <w:ind w:left="567"/>
        <w:jc w:val="both"/>
        <w:rPr>
          <w:rFonts w:ascii="Times New Roman" w:eastAsia="Times New Roman" w:hAnsi="Times New Roman" w:cs="Times New Roman"/>
          <w:sz w:val="24"/>
          <w:szCs w:val="24"/>
          <w:lang w:val="en-US" w:eastAsia="en-IN"/>
        </w:rPr>
      </w:pPr>
      <w:r w:rsidRPr="00781A19">
        <w:rPr>
          <w:rFonts w:ascii="Times New Roman" w:eastAsia="Times New Roman" w:hAnsi="Times New Roman" w:cs="Times New Roman"/>
          <w:bCs/>
          <w:sz w:val="24"/>
          <w:szCs w:val="24"/>
          <w:lang w:val="en-US" w:eastAsia="en-IN"/>
        </w:rPr>
        <w:t>Tamil Nadu</w:t>
      </w:r>
      <w:r w:rsidRPr="00781A19">
        <w:rPr>
          <w:rFonts w:ascii="Times New Roman" w:eastAsia="Times New Roman" w:hAnsi="Times New Roman" w:cs="Times New Roman"/>
          <w:b/>
          <w:bCs/>
          <w:sz w:val="24"/>
          <w:szCs w:val="24"/>
          <w:lang w:val="en-US" w:eastAsia="en-IN"/>
        </w:rPr>
        <w:t xml:space="preserve"> </w:t>
      </w:r>
      <w:r w:rsidRPr="00781A19">
        <w:rPr>
          <w:rFonts w:ascii="Times New Roman" w:eastAsia="Times New Roman" w:hAnsi="Times New Roman" w:cs="Times New Roman"/>
          <w:sz w:val="24"/>
          <w:szCs w:val="24"/>
          <w:lang w:val="en-US" w:eastAsia="en-IN"/>
        </w:rPr>
        <w:t>has</w:t>
      </w:r>
      <w:r w:rsidR="00AB6253">
        <w:rPr>
          <w:rFonts w:ascii="Times New Roman" w:eastAsia="Times New Roman" w:hAnsi="Times New Roman" w:cs="Times New Roman"/>
          <w:sz w:val="24"/>
          <w:szCs w:val="24"/>
          <w:lang w:val="en-US" w:eastAsia="en-IN"/>
        </w:rPr>
        <w:t xml:space="preserve"> the</w:t>
      </w:r>
      <w:r w:rsidRPr="00781A19">
        <w:rPr>
          <w:rFonts w:ascii="Times New Roman" w:eastAsia="Times New Roman" w:hAnsi="Times New Roman" w:cs="Times New Roman"/>
          <w:sz w:val="24"/>
          <w:szCs w:val="24"/>
          <w:lang w:val="en-US" w:eastAsia="en-IN"/>
        </w:rPr>
        <w:t xml:space="preserve"> highest number of registered mandis (157) under e-NAM scheme which is almost 11.30%; followed by Rajasthan (10.44%), Gujarat (10.37%), Madhya Pradesh (10.01%) and Maharashtra (9.57%). </w:t>
      </w:r>
    </w:p>
    <w:p w:rsidR="00745A15" w:rsidRPr="00781A19" w:rsidRDefault="00745A15" w:rsidP="00745A15">
      <w:pPr>
        <w:tabs>
          <w:tab w:val="left" w:pos="3690"/>
        </w:tabs>
        <w:spacing w:after="0" w:line="360" w:lineRule="auto"/>
        <w:jc w:val="center"/>
        <w:rPr>
          <w:rFonts w:ascii="Times New Roman" w:eastAsia="Times New Roman" w:hAnsi="Times New Roman" w:cs="Times New Roman"/>
          <w:sz w:val="24"/>
          <w:szCs w:val="24"/>
          <w:lang w:eastAsia="en-IN"/>
        </w:rPr>
      </w:pPr>
      <w:r w:rsidRPr="00781A19">
        <w:rPr>
          <w:rFonts w:ascii="Times New Roman" w:eastAsia="Times New Roman" w:hAnsi="Times New Roman" w:cs="Times New Roman"/>
          <w:noProof/>
          <w:sz w:val="24"/>
          <w:szCs w:val="24"/>
          <w:lang w:eastAsia="en-IN"/>
        </w:rPr>
        <w:drawing>
          <wp:inline distT="0" distB="0" distL="0" distR="0" wp14:anchorId="2304EC4D" wp14:editId="0EE9F8C7">
            <wp:extent cx="4997302" cy="2200940"/>
            <wp:effectExtent l="38100" t="19050" r="32385" b="850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5A15" w:rsidRPr="00781A19" w:rsidRDefault="008F52CB" w:rsidP="00745A15">
      <w:pPr>
        <w:tabs>
          <w:tab w:val="left" w:pos="3690"/>
        </w:tabs>
        <w:spacing w:after="0" w:line="240" w:lineRule="auto"/>
        <w:jc w:val="center"/>
        <w:rPr>
          <w:rFonts w:ascii="Times New Roman" w:eastAsia="Times New Roman" w:hAnsi="Times New Roman" w:cs="Times New Roman"/>
          <w:sz w:val="24"/>
          <w:szCs w:val="24"/>
          <w:lang w:eastAsia="en-IN"/>
        </w:rPr>
      </w:pPr>
      <w:r w:rsidRPr="008F52CB">
        <w:rPr>
          <w:rFonts w:ascii="Times New Roman" w:eastAsia="Times New Roman" w:hAnsi="Times New Roman" w:cs="Times New Roman"/>
          <w:b/>
          <w:bCs/>
          <w:sz w:val="24"/>
          <w:szCs w:val="24"/>
          <w:lang w:val="en-US" w:eastAsia="en-IN"/>
        </w:rPr>
        <w:t>Fig 4</w:t>
      </w:r>
      <w:r w:rsidR="00745A15" w:rsidRPr="008F52CB">
        <w:rPr>
          <w:rFonts w:ascii="Times New Roman" w:eastAsia="Times New Roman" w:hAnsi="Times New Roman" w:cs="Times New Roman"/>
          <w:b/>
          <w:bCs/>
          <w:sz w:val="24"/>
          <w:szCs w:val="24"/>
          <w:lang w:val="en-US" w:eastAsia="en-IN"/>
        </w:rPr>
        <w:t>:</w:t>
      </w:r>
      <w:r w:rsidR="00745A15" w:rsidRPr="00781A19">
        <w:rPr>
          <w:rFonts w:ascii="Times New Roman" w:eastAsia="Times New Roman" w:hAnsi="Times New Roman" w:cs="Times New Roman"/>
          <w:bCs/>
          <w:sz w:val="24"/>
          <w:szCs w:val="24"/>
          <w:lang w:val="en-US" w:eastAsia="en-IN"/>
        </w:rPr>
        <w:t xml:space="preserve"> State-wise registered mandis in e-NAM (in number)</w:t>
      </w:r>
    </w:p>
    <w:p w:rsidR="00745A15" w:rsidRPr="00781A19" w:rsidRDefault="00745A15" w:rsidP="00745A15">
      <w:pPr>
        <w:tabs>
          <w:tab w:val="left" w:pos="3690"/>
        </w:tabs>
        <w:spacing w:after="0" w:line="360" w:lineRule="auto"/>
        <w:jc w:val="center"/>
        <w:rPr>
          <w:rFonts w:ascii="Times New Roman" w:eastAsia="Times New Roman" w:hAnsi="Times New Roman" w:cs="Times New Roman"/>
          <w:b/>
          <w:sz w:val="24"/>
          <w:szCs w:val="24"/>
          <w:lang w:eastAsia="en-IN"/>
        </w:rPr>
      </w:pPr>
      <w:r w:rsidRPr="00781A19">
        <w:rPr>
          <w:rFonts w:ascii="Times New Roman" w:eastAsia="Times New Roman" w:hAnsi="Times New Roman" w:cs="Times New Roman"/>
          <w:b/>
          <w:sz w:val="24"/>
          <w:szCs w:val="24"/>
          <w:lang w:eastAsia="en-IN"/>
        </w:rPr>
        <w:t xml:space="preserve">(Source: </w:t>
      </w:r>
      <w:hyperlink r:id="rId17" w:history="1">
        <w:r w:rsidRPr="00781A19">
          <w:rPr>
            <w:rStyle w:val="Hyperlink"/>
            <w:rFonts w:ascii="Times New Roman" w:hAnsi="Times New Roman" w:cs="Times New Roman"/>
            <w:sz w:val="24"/>
            <w:szCs w:val="24"/>
            <w:lang w:val="en-US"/>
          </w:rPr>
          <w:t>https://enam.gov.in/</w:t>
        </w:r>
      </w:hyperlink>
      <w:r w:rsidRPr="00781A19">
        <w:rPr>
          <w:rFonts w:ascii="Times New Roman" w:eastAsia="Times New Roman" w:hAnsi="Times New Roman" w:cs="Times New Roman"/>
          <w:b/>
          <w:sz w:val="24"/>
          <w:szCs w:val="24"/>
          <w:lang w:eastAsia="en-IN"/>
        </w:rPr>
        <w:t>)</w:t>
      </w:r>
    </w:p>
    <w:p w:rsidR="00B70FE6" w:rsidRDefault="00224185" w:rsidP="00745A15">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CONCLUSIONS</w:t>
      </w:r>
      <w:r w:rsidR="00B70FE6" w:rsidRPr="00B70FE6">
        <w:rPr>
          <w:rFonts w:ascii="Times New Roman" w:hAnsi="Times New Roman" w:cs="Times New Roman"/>
          <w:b/>
          <w:sz w:val="24"/>
          <w:szCs w:val="24"/>
          <w:u w:val="single"/>
          <w:lang w:val="en-US"/>
        </w:rPr>
        <w:t>:</w:t>
      </w:r>
    </w:p>
    <w:p w:rsidR="00C0431F" w:rsidRDefault="00C0431F" w:rsidP="002D7BA6">
      <w:pPr>
        <w:spacing w:after="0" w:line="360" w:lineRule="auto"/>
        <w:jc w:val="both"/>
        <w:rPr>
          <w:rFonts w:ascii="Times New Roman" w:eastAsia="Times New Roman" w:hAnsi="Times New Roman" w:cs="Times New Roman"/>
          <w:sz w:val="24"/>
          <w:szCs w:val="24"/>
          <w:lang w:eastAsia="en-IN"/>
        </w:rPr>
      </w:pPr>
      <w:r w:rsidRPr="00C0431F">
        <w:rPr>
          <w:rFonts w:ascii="Times New Roman" w:eastAsia="Times New Roman" w:hAnsi="Times New Roman" w:cs="Times New Roman"/>
          <w:sz w:val="24"/>
          <w:szCs w:val="24"/>
          <w:lang w:eastAsia="en-IN"/>
        </w:rPr>
        <w:t>The e-NAM system exhibits significant interstate diversity in the participation of different stakeholders. This variance can be ascribed to multiple variables, including the differing degrees of involvement of mandis, disparities in stakeholder awareness, and differences in their readiness to embrace novel technologies. In order to provide crucial information about trade, pricing, and agricultural logistics, the e-NAM gateway is required. Extension agents may be very helpful in this area by informing interested parties about the benefits of e-NAM, with a special emphasis on farmers. In general, in order to fully realise the potential of the e-NAM site to alter agricultural markets and benefit the farming community, it is imperative to raise awareness among stakeholders, particularly farmers, and encourage effective use of the portal.</w:t>
      </w:r>
    </w:p>
    <w:p w:rsidR="001F2401" w:rsidRDefault="001F2401" w:rsidP="002D7BA6">
      <w:pPr>
        <w:spacing w:after="0" w:line="360" w:lineRule="auto"/>
        <w:jc w:val="both"/>
        <w:rPr>
          <w:rFonts w:ascii="Times New Roman" w:eastAsia="Times New Roman" w:hAnsi="Times New Roman" w:cs="Times New Roman"/>
          <w:sz w:val="24"/>
          <w:szCs w:val="24"/>
          <w:lang w:eastAsia="en-IN"/>
        </w:rPr>
      </w:pPr>
    </w:p>
    <w:p w:rsidR="001F2401" w:rsidRPr="00C0431F" w:rsidRDefault="001F2401" w:rsidP="002D7BA6">
      <w:pPr>
        <w:spacing w:after="0" w:line="360" w:lineRule="auto"/>
        <w:jc w:val="both"/>
        <w:rPr>
          <w:rFonts w:ascii="Times New Roman" w:eastAsia="Times New Roman" w:hAnsi="Times New Roman" w:cs="Times New Roman"/>
          <w:sz w:val="24"/>
          <w:szCs w:val="24"/>
          <w:lang w:eastAsia="en-IN"/>
        </w:rPr>
      </w:pPr>
    </w:p>
    <w:p w:rsidR="00CC02DF" w:rsidRDefault="00B70FE6" w:rsidP="00745A15">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R</w:t>
      </w:r>
      <w:r w:rsidR="00224185">
        <w:rPr>
          <w:rFonts w:ascii="Times New Roman" w:hAnsi="Times New Roman" w:cs="Times New Roman"/>
          <w:b/>
          <w:sz w:val="24"/>
          <w:szCs w:val="24"/>
          <w:u w:val="single"/>
          <w:lang w:val="en-US"/>
        </w:rPr>
        <w:t>EFERENCES</w:t>
      </w:r>
      <w:r>
        <w:rPr>
          <w:rFonts w:ascii="Times New Roman" w:hAnsi="Times New Roman" w:cs="Times New Roman"/>
          <w:b/>
          <w:sz w:val="24"/>
          <w:szCs w:val="24"/>
          <w:u w:val="single"/>
          <w:lang w:val="en-US"/>
        </w:rPr>
        <w:t>:</w:t>
      </w:r>
    </w:p>
    <w:p w:rsidR="00CC02DF" w:rsidRDefault="00CC02DF" w:rsidP="002D7BA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Hiremath G.M., Chandargi D.M</w:t>
      </w:r>
      <w:r w:rsidR="007E43DF">
        <w:rPr>
          <w:rFonts w:ascii="Times New Roman" w:hAnsi="Times New Roman" w:cs="Times New Roman"/>
          <w:sz w:val="24"/>
          <w:szCs w:val="24"/>
        </w:rPr>
        <w:t xml:space="preserve">., Jainuddin S.M., Satihal D.G.: </w:t>
      </w:r>
      <w:r w:rsidRPr="00CC02DF">
        <w:rPr>
          <w:sz w:val="24"/>
          <w:szCs w:val="24"/>
        </w:rPr>
        <w:t>Participation of different stakeholders in electro</w:t>
      </w:r>
      <w:r>
        <w:rPr>
          <w:sz w:val="24"/>
          <w:szCs w:val="24"/>
        </w:rPr>
        <w:t>nic national agriculture market</w:t>
      </w:r>
      <w:r w:rsidRPr="00CC02DF">
        <w:rPr>
          <w:sz w:val="24"/>
          <w:szCs w:val="24"/>
        </w:rPr>
        <w:t>: An assessment</w:t>
      </w:r>
      <w:r w:rsidR="00224185">
        <w:rPr>
          <w:rFonts w:ascii="Times New Roman" w:hAnsi="Times New Roman" w:cs="Times New Roman"/>
          <w:sz w:val="24"/>
          <w:szCs w:val="24"/>
        </w:rPr>
        <w:t>.</w:t>
      </w:r>
      <w:r w:rsidRPr="00CC02DF">
        <w:rPr>
          <w:rFonts w:ascii="Times New Roman" w:hAnsi="Times New Roman" w:cs="Times New Roman"/>
          <w:sz w:val="24"/>
          <w:szCs w:val="24"/>
        </w:rPr>
        <w:t xml:space="preserve"> </w:t>
      </w:r>
      <w:r w:rsidR="00224185">
        <w:rPr>
          <w:rFonts w:ascii="Times New Roman" w:hAnsi="Times New Roman" w:cs="Times New Roman"/>
          <w:sz w:val="24"/>
          <w:szCs w:val="24"/>
        </w:rPr>
        <w:t>J. Farm Sci. Spl.</w:t>
      </w:r>
      <w:r w:rsidRPr="00CC02DF">
        <w:rPr>
          <w:rFonts w:ascii="Times New Roman" w:hAnsi="Times New Roman" w:cs="Times New Roman"/>
          <w:sz w:val="24"/>
          <w:szCs w:val="24"/>
        </w:rPr>
        <w:t xml:space="preserve"> </w:t>
      </w:r>
      <w:r w:rsidR="00224185">
        <w:rPr>
          <w:rFonts w:ascii="Times New Roman" w:hAnsi="Times New Roman" w:cs="Times New Roman"/>
          <w:sz w:val="24"/>
          <w:szCs w:val="24"/>
        </w:rPr>
        <w:t>5 (2019) 533-537</w:t>
      </w:r>
    </w:p>
    <w:p w:rsidR="00225130" w:rsidRPr="00225130" w:rsidRDefault="00225130" w:rsidP="002D7BA6">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Pandey H., Rai R.K., Kumar A., Singh A., Kharbikar H.L., Maurya N</w:t>
      </w:r>
      <w:r w:rsidR="00224185">
        <w:rPr>
          <w:rFonts w:ascii="Times New Roman" w:hAnsi="Times New Roman" w:cs="Times New Roman"/>
          <w:sz w:val="24"/>
          <w:szCs w:val="24"/>
        </w:rPr>
        <w:t xml:space="preserve">.: </w:t>
      </w:r>
      <w:r w:rsidRPr="00225130">
        <w:rPr>
          <w:rFonts w:ascii="Times New Roman" w:hAnsi="Times New Roman" w:cs="Times New Roman"/>
          <w:sz w:val="24"/>
          <w:szCs w:val="24"/>
        </w:rPr>
        <w:t>National Agriculture Market (e-NAM): Special Reference to Uttar Pradesh</w:t>
      </w:r>
      <w:r w:rsidR="00224185">
        <w:rPr>
          <w:rFonts w:ascii="Times New Roman" w:hAnsi="Times New Roman" w:cs="Times New Roman"/>
          <w:sz w:val="24"/>
          <w:szCs w:val="24"/>
        </w:rPr>
        <w:t>.</w:t>
      </w:r>
      <w:r>
        <w:rPr>
          <w:rFonts w:ascii="Times New Roman" w:hAnsi="Times New Roman" w:cs="Times New Roman"/>
          <w:sz w:val="24"/>
          <w:szCs w:val="24"/>
        </w:rPr>
        <w:t xml:space="preserve"> </w:t>
      </w:r>
      <w:r w:rsidRPr="00224185">
        <w:rPr>
          <w:rFonts w:ascii="Times New Roman" w:hAnsi="Times New Roman" w:cs="Times New Roman"/>
          <w:sz w:val="24"/>
          <w:szCs w:val="24"/>
        </w:rPr>
        <w:t>Food and Scientific Reports</w:t>
      </w:r>
      <w:r w:rsidR="00224185">
        <w:rPr>
          <w:rFonts w:ascii="Times New Roman" w:hAnsi="Times New Roman" w:cs="Times New Roman"/>
          <w:sz w:val="24"/>
          <w:szCs w:val="24"/>
        </w:rPr>
        <w:t xml:space="preserve"> 1 (2020)</w:t>
      </w:r>
      <w:r>
        <w:rPr>
          <w:rFonts w:ascii="Times New Roman" w:hAnsi="Times New Roman" w:cs="Times New Roman"/>
          <w:sz w:val="24"/>
          <w:szCs w:val="24"/>
        </w:rPr>
        <w:t xml:space="preserve"> </w:t>
      </w:r>
      <w:r w:rsidR="00224185">
        <w:rPr>
          <w:rFonts w:ascii="Times New Roman" w:hAnsi="Times New Roman" w:cs="Times New Roman"/>
          <w:sz w:val="24"/>
          <w:szCs w:val="24"/>
        </w:rPr>
        <w:t>69-71</w:t>
      </w:r>
    </w:p>
    <w:p w:rsidR="00B70FE6" w:rsidRPr="00263680" w:rsidRDefault="00C30127" w:rsidP="002D7BA6">
      <w:pPr>
        <w:pStyle w:val="ListParagraph"/>
        <w:numPr>
          <w:ilvl w:val="0"/>
          <w:numId w:val="4"/>
        </w:numPr>
        <w:spacing w:after="0" w:line="360" w:lineRule="auto"/>
        <w:jc w:val="both"/>
        <w:rPr>
          <w:rFonts w:ascii="Times New Roman" w:hAnsi="Times New Roman" w:cs="Times New Roman"/>
          <w:sz w:val="24"/>
          <w:szCs w:val="24"/>
        </w:rPr>
      </w:pPr>
      <w:hyperlink r:id="rId18" w:history="1">
        <w:r w:rsidR="00B70FE6" w:rsidRPr="00263680">
          <w:rPr>
            <w:rStyle w:val="Hyperlink"/>
            <w:rFonts w:ascii="Times New Roman" w:hAnsi="Times New Roman" w:cs="Times New Roman"/>
            <w:sz w:val="24"/>
            <w:szCs w:val="24"/>
            <w:lang w:val="en-US"/>
          </w:rPr>
          <w:t>https://enam.gov.in/</w:t>
        </w:r>
      </w:hyperlink>
      <w:r w:rsidR="00346171">
        <w:rPr>
          <w:rStyle w:val="Hyperlink"/>
          <w:rFonts w:ascii="Times New Roman" w:hAnsi="Times New Roman" w:cs="Times New Roman"/>
          <w:color w:val="auto"/>
          <w:sz w:val="24"/>
          <w:szCs w:val="24"/>
          <w:u w:val="none"/>
          <w:lang w:val="en-US"/>
        </w:rPr>
        <w:t>, date accessed- 21.04.2024</w:t>
      </w:r>
    </w:p>
    <w:p w:rsidR="00B70FE6" w:rsidRDefault="00B70FE6" w:rsidP="00B70FE6">
      <w:pPr>
        <w:spacing w:line="360" w:lineRule="auto"/>
        <w:jc w:val="both"/>
        <w:rPr>
          <w:rFonts w:ascii="Times New Roman" w:hAnsi="Times New Roman" w:cs="Times New Roman"/>
          <w:sz w:val="24"/>
          <w:szCs w:val="24"/>
        </w:rPr>
      </w:pPr>
    </w:p>
    <w:p w:rsidR="00B70FE6" w:rsidRPr="00781A19" w:rsidRDefault="00B70FE6" w:rsidP="00B70FE6">
      <w:pPr>
        <w:spacing w:line="360" w:lineRule="auto"/>
        <w:jc w:val="both"/>
        <w:rPr>
          <w:rFonts w:ascii="Times New Roman" w:hAnsi="Times New Roman" w:cs="Times New Roman"/>
          <w:sz w:val="24"/>
          <w:szCs w:val="24"/>
        </w:rPr>
      </w:pPr>
    </w:p>
    <w:p w:rsidR="00B70FE6" w:rsidRPr="00B70FE6" w:rsidRDefault="00B70FE6" w:rsidP="00745A15">
      <w:pPr>
        <w:spacing w:after="0" w:line="360" w:lineRule="auto"/>
        <w:jc w:val="both"/>
        <w:rPr>
          <w:rFonts w:ascii="Times New Roman" w:hAnsi="Times New Roman" w:cs="Times New Roman"/>
          <w:b/>
          <w:sz w:val="24"/>
          <w:szCs w:val="24"/>
          <w:u w:val="single"/>
          <w:lang w:val="en-US"/>
        </w:rPr>
      </w:pPr>
    </w:p>
    <w:p w:rsidR="00B70FE6" w:rsidRPr="00781A19" w:rsidRDefault="00B70FE6" w:rsidP="00745A15">
      <w:pPr>
        <w:spacing w:after="0" w:line="360" w:lineRule="auto"/>
        <w:jc w:val="both"/>
        <w:rPr>
          <w:rFonts w:ascii="Times New Roman" w:hAnsi="Times New Roman" w:cs="Times New Roman"/>
          <w:sz w:val="24"/>
          <w:szCs w:val="24"/>
          <w:lang w:val="en-US"/>
        </w:rPr>
      </w:pPr>
    </w:p>
    <w:p w:rsidR="00745A15" w:rsidRPr="00745A15" w:rsidRDefault="00745A15" w:rsidP="00745A15">
      <w:pPr>
        <w:rPr>
          <w:rFonts w:ascii="Times New Roman" w:hAnsi="Times New Roman" w:cs="Times New Roman"/>
          <w:b/>
          <w:sz w:val="24"/>
          <w:szCs w:val="28"/>
          <w:u w:val="single"/>
        </w:rPr>
      </w:pPr>
    </w:p>
    <w:p w:rsidR="00745A15" w:rsidRPr="00745A15" w:rsidRDefault="00745A15" w:rsidP="00745A15">
      <w:pPr>
        <w:rPr>
          <w:rFonts w:ascii="Times New Roman" w:hAnsi="Times New Roman" w:cs="Times New Roman"/>
          <w:sz w:val="24"/>
          <w:szCs w:val="28"/>
        </w:rPr>
      </w:pPr>
    </w:p>
    <w:sectPr w:rsidR="00745A15" w:rsidRPr="00745A15" w:rsidSect="002D7BA6">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EB" w:rsidRDefault="00352DEB" w:rsidP="00AF6209">
      <w:pPr>
        <w:spacing w:after="0" w:line="240" w:lineRule="auto"/>
      </w:pPr>
      <w:r>
        <w:separator/>
      </w:r>
    </w:p>
  </w:endnote>
  <w:endnote w:type="continuationSeparator" w:id="0">
    <w:p w:rsidR="00352DEB" w:rsidRDefault="00352DEB" w:rsidP="00AF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210926"/>
      <w:docPartObj>
        <w:docPartGallery w:val="Page Numbers (Bottom of Page)"/>
        <w:docPartUnique/>
      </w:docPartObj>
    </w:sdtPr>
    <w:sdtEndPr>
      <w:rPr>
        <w:noProof/>
      </w:rPr>
    </w:sdtEndPr>
    <w:sdtContent>
      <w:p w:rsidR="00C30127" w:rsidRDefault="00C30127">
        <w:pPr>
          <w:pStyle w:val="Footer"/>
          <w:jc w:val="right"/>
        </w:pPr>
        <w:r>
          <w:fldChar w:fldCharType="begin"/>
        </w:r>
        <w:r>
          <w:instrText xml:space="preserve"> PAGE   \* MERGEFORMAT </w:instrText>
        </w:r>
        <w:r>
          <w:fldChar w:fldCharType="separate"/>
        </w:r>
        <w:r w:rsidR="007F69E9">
          <w:rPr>
            <w:noProof/>
          </w:rPr>
          <w:t>1</w:t>
        </w:r>
        <w:r>
          <w:rPr>
            <w:noProof/>
          </w:rPr>
          <w:fldChar w:fldCharType="end"/>
        </w:r>
      </w:p>
    </w:sdtContent>
  </w:sdt>
  <w:p w:rsidR="00C30127" w:rsidRDefault="00C30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EB" w:rsidRDefault="00352DEB" w:rsidP="00AF6209">
      <w:pPr>
        <w:spacing w:after="0" w:line="240" w:lineRule="auto"/>
      </w:pPr>
      <w:r>
        <w:separator/>
      </w:r>
    </w:p>
  </w:footnote>
  <w:footnote w:type="continuationSeparator" w:id="0">
    <w:p w:rsidR="00352DEB" w:rsidRDefault="00352DEB" w:rsidP="00AF6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5EE2"/>
    <w:multiLevelType w:val="hybridMultilevel"/>
    <w:tmpl w:val="C26AF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B596D53"/>
    <w:multiLevelType w:val="hybridMultilevel"/>
    <w:tmpl w:val="91108E20"/>
    <w:lvl w:ilvl="0" w:tplc="05004568">
      <w:start w:val="1"/>
      <w:numFmt w:val="bullet"/>
      <w:lvlText w:val=""/>
      <w:lvlJc w:val="left"/>
      <w:pPr>
        <w:tabs>
          <w:tab w:val="num" w:pos="720"/>
        </w:tabs>
        <w:ind w:left="720" w:hanging="360"/>
      </w:pPr>
      <w:rPr>
        <w:rFonts w:ascii="Wingdings" w:hAnsi="Wingdings" w:hint="default"/>
      </w:rPr>
    </w:lvl>
    <w:lvl w:ilvl="1" w:tplc="0A20DFBE" w:tentative="1">
      <w:start w:val="1"/>
      <w:numFmt w:val="bullet"/>
      <w:lvlText w:val=""/>
      <w:lvlJc w:val="left"/>
      <w:pPr>
        <w:tabs>
          <w:tab w:val="num" w:pos="1440"/>
        </w:tabs>
        <w:ind w:left="1440" w:hanging="360"/>
      </w:pPr>
      <w:rPr>
        <w:rFonts w:ascii="Wingdings" w:hAnsi="Wingdings" w:hint="default"/>
      </w:rPr>
    </w:lvl>
    <w:lvl w:ilvl="2" w:tplc="3782F0B2" w:tentative="1">
      <w:start w:val="1"/>
      <w:numFmt w:val="bullet"/>
      <w:lvlText w:val=""/>
      <w:lvlJc w:val="left"/>
      <w:pPr>
        <w:tabs>
          <w:tab w:val="num" w:pos="2160"/>
        </w:tabs>
        <w:ind w:left="2160" w:hanging="360"/>
      </w:pPr>
      <w:rPr>
        <w:rFonts w:ascii="Wingdings" w:hAnsi="Wingdings" w:hint="default"/>
      </w:rPr>
    </w:lvl>
    <w:lvl w:ilvl="3" w:tplc="91E23982" w:tentative="1">
      <w:start w:val="1"/>
      <w:numFmt w:val="bullet"/>
      <w:lvlText w:val=""/>
      <w:lvlJc w:val="left"/>
      <w:pPr>
        <w:tabs>
          <w:tab w:val="num" w:pos="2880"/>
        </w:tabs>
        <w:ind w:left="2880" w:hanging="360"/>
      </w:pPr>
      <w:rPr>
        <w:rFonts w:ascii="Wingdings" w:hAnsi="Wingdings" w:hint="default"/>
      </w:rPr>
    </w:lvl>
    <w:lvl w:ilvl="4" w:tplc="A86E1BCC" w:tentative="1">
      <w:start w:val="1"/>
      <w:numFmt w:val="bullet"/>
      <w:lvlText w:val=""/>
      <w:lvlJc w:val="left"/>
      <w:pPr>
        <w:tabs>
          <w:tab w:val="num" w:pos="3600"/>
        </w:tabs>
        <w:ind w:left="3600" w:hanging="360"/>
      </w:pPr>
      <w:rPr>
        <w:rFonts w:ascii="Wingdings" w:hAnsi="Wingdings" w:hint="default"/>
      </w:rPr>
    </w:lvl>
    <w:lvl w:ilvl="5" w:tplc="A22CDB16" w:tentative="1">
      <w:start w:val="1"/>
      <w:numFmt w:val="bullet"/>
      <w:lvlText w:val=""/>
      <w:lvlJc w:val="left"/>
      <w:pPr>
        <w:tabs>
          <w:tab w:val="num" w:pos="4320"/>
        </w:tabs>
        <w:ind w:left="4320" w:hanging="360"/>
      </w:pPr>
      <w:rPr>
        <w:rFonts w:ascii="Wingdings" w:hAnsi="Wingdings" w:hint="default"/>
      </w:rPr>
    </w:lvl>
    <w:lvl w:ilvl="6" w:tplc="5F46746A" w:tentative="1">
      <w:start w:val="1"/>
      <w:numFmt w:val="bullet"/>
      <w:lvlText w:val=""/>
      <w:lvlJc w:val="left"/>
      <w:pPr>
        <w:tabs>
          <w:tab w:val="num" w:pos="5040"/>
        </w:tabs>
        <w:ind w:left="5040" w:hanging="360"/>
      </w:pPr>
      <w:rPr>
        <w:rFonts w:ascii="Wingdings" w:hAnsi="Wingdings" w:hint="default"/>
      </w:rPr>
    </w:lvl>
    <w:lvl w:ilvl="7" w:tplc="8DF8F33A" w:tentative="1">
      <w:start w:val="1"/>
      <w:numFmt w:val="bullet"/>
      <w:lvlText w:val=""/>
      <w:lvlJc w:val="left"/>
      <w:pPr>
        <w:tabs>
          <w:tab w:val="num" w:pos="5760"/>
        </w:tabs>
        <w:ind w:left="5760" w:hanging="360"/>
      </w:pPr>
      <w:rPr>
        <w:rFonts w:ascii="Wingdings" w:hAnsi="Wingdings" w:hint="default"/>
      </w:rPr>
    </w:lvl>
    <w:lvl w:ilvl="8" w:tplc="B060DA94" w:tentative="1">
      <w:start w:val="1"/>
      <w:numFmt w:val="bullet"/>
      <w:lvlText w:val=""/>
      <w:lvlJc w:val="left"/>
      <w:pPr>
        <w:tabs>
          <w:tab w:val="num" w:pos="6480"/>
        </w:tabs>
        <w:ind w:left="6480" w:hanging="360"/>
      </w:pPr>
      <w:rPr>
        <w:rFonts w:ascii="Wingdings" w:hAnsi="Wingdings" w:hint="default"/>
      </w:rPr>
    </w:lvl>
  </w:abstractNum>
  <w:abstractNum w:abstractNumId="2">
    <w:nsid w:val="371E4924"/>
    <w:multiLevelType w:val="hybridMultilevel"/>
    <w:tmpl w:val="091E3BF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1790B97"/>
    <w:multiLevelType w:val="hybridMultilevel"/>
    <w:tmpl w:val="87B471D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85B42B0"/>
    <w:multiLevelType w:val="hybridMultilevel"/>
    <w:tmpl w:val="27844EE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6C12F03"/>
    <w:multiLevelType w:val="hybridMultilevel"/>
    <w:tmpl w:val="5EA42BC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A15"/>
    <w:rsid w:val="001A2D2B"/>
    <w:rsid w:val="001F2401"/>
    <w:rsid w:val="00200F02"/>
    <w:rsid w:val="00224185"/>
    <w:rsid w:val="00225130"/>
    <w:rsid w:val="00263680"/>
    <w:rsid w:val="002659CB"/>
    <w:rsid w:val="002D7BA6"/>
    <w:rsid w:val="0030180B"/>
    <w:rsid w:val="00346171"/>
    <w:rsid w:val="00352DEB"/>
    <w:rsid w:val="003C4ED6"/>
    <w:rsid w:val="004943E1"/>
    <w:rsid w:val="004F627B"/>
    <w:rsid w:val="00564D25"/>
    <w:rsid w:val="00591FC1"/>
    <w:rsid w:val="005A4768"/>
    <w:rsid w:val="006A4C2C"/>
    <w:rsid w:val="006E05C0"/>
    <w:rsid w:val="006E15A7"/>
    <w:rsid w:val="00745A15"/>
    <w:rsid w:val="00747505"/>
    <w:rsid w:val="007C30F4"/>
    <w:rsid w:val="007E43DF"/>
    <w:rsid w:val="007F69E9"/>
    <w:rsid w:val="008F52CB"/>
    <w:rsid w:val="00903B31"/>
    <w:rsid w:val="00960BAC"/>
    <w:rsid w:val="009D4066"/>
    <w:rsid w:val="00A03631"/>
    <w:rsid w:val="00A47C10"/>
    <w:rsid w:val="00A63610"/>
    <w:rsid w:val="00AB6253"/>
    <w:rsid w:val="00AE56BE"/>
    <w:rsid w:val="00AF6209"/>
    <w:rsid w:val="00B70FE6"/>
    <w:rsid w:val="00C0431F"/>
    <w:rsid w:val="00C30127"/>
    <w:rsid w:val="00C470AF"/>
    <w:rsid w:val="00C72452"/>
    <w:rsid w:val="00C72F3D"/>
    <w:rsid w:val="00C9440A"/>
    <w:rsid w:val="00C947F7"/>
    <w:rsid w:val="00CC02DF"/>
    <w:rsid w:val="00D3240E"/>
    <w:rsid w:val="00D7620E"/>
    <w:rsid w:val="00DA79EF"/>
    <w:rsid w:val="00DC749B"/>
    <w:rsid w:val="00E91A16"/>
    <w:rsid w:val="00F251ED"/>
    <w:rsid w:val="00F336FA"/>
    <w:rsid w:val="00F674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745A1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745A15"/>
    <w:pPr>
      <w:ind w:left="720"/>
      <w:contextualSpacing/>
    </w:pPr>
  </w:style>
  <w:style w:type="table" w:styleId="TableGrid">
    <w:name w:val="Table Grid"/>
    <w:basedOn w:val="TableNormal"/>
    <w:uiPriority w:val="59"/>
    <w:rsid w:val="00745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45A15"/>
    <w:rPr>
      <w:color w:val="0000FF" w:themeColor="hyperlink"/>
      <w:u w:val="single"/>
    </w:rPr>
  </w:style>
  <w:style w:type="paragraph" w:styleId="BalloonText">
    <w:name w:val="Balloon Text"/>
    <w:basedOn w:val="Normal"/>
    <w:link w:val="BalloonTextChar"/>
    <w:uiPriority w:val="99"/>
    <w:semiHidden/>
    <w:unhideWhenUsed/>
    <w:rsid w:val="00745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15"/>
    <w:rPr>
      <w:rFonts w:ascii="Tahoma" w:hAnsi="Tahoma" w:cs="Tahoma"/>
      <w:sz w:val="16"/>
      <w:szCs w:val="16"/>
    </w:rPr>
  </w:style>
  <w:style w:type="paragraph" w:styleId="Header">
    <w:name w:val="header"/>
    <w:basedOn w:val="Normal"/>
    <w:link w:val="HeaderChar"/>
    <w:uiPriority w:val="99"/>
    <w:unhideWhenUsed/>
    <w:rsid w:val="00AF6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209"/>
  </w:style>
  <w:style w:type="paragraph" w:styleId="Footer">
    <w:name w:val="footer"/>
    <w:basedOn w:val="Normal"/>
    <w:link w:val="FooterChar"/>
    <w:uiPriority w:val="99"/>
    <w:unhideWhenUsed/>
    <w:rsid w:val="00AF6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745A1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745A15"/>
    <w:pPr>
      <w:ind w:left="720"/>
      <w:contextualSpacing/>
    </w:pPr>
  </w:style>
  <w:style w:type="table" w:styleId="TableGrid">
    <w:name w:val="Table Grid"/>
    <w:basedOn w:val="TableNormal"/>
    <w:uiPriority w:val="59"/>
    <w:rsid w:val="00745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45A15"/>
    <w:rPr>
      <w:color w:val="0000FF" w:themeColor="hyperlink"/>
      <w:u w:val="single"/>
    </w:rPr>
  </w:style>
  <w:style w:type="paragraph" w:styleId="BalloonText">
    <w:name w:val="Balloon Text"/>
    <w:basedOn w:val="Normal"/>
    <w:link w:val="BalloonTextChar"/>
    <w:uiPriority w:val="99"/>
    <w:semiHidden/>
    <w:unhideWhenUsed/>
    <w:rsid w:val="00745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15"/>
    <w:rPr>
      <w:rFonts w:ascii="Tahoma" w:hAnsi="Tahoma" w:cs="Tahoma"/>
      <w:sz w:val="16"/>
      <w:szCs w:val="16"/>
    </w:rPr>
  </w:style>
  <w:style w:type="paragraph" w:styleId="Header">
    <w:name w:val="header"/>
    <w:basedOn w:val="Normal"/>
    <w:link w:val="HeaderChar"/>
    <w:uiPriority w:val="99"/>
    <w:unhideWhenUsed/>
    <w:rsid w:val="00AF6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209"/>
  </w:style>
  <w:style w:type="paragraph" w:styleId="Footer">
    <w:name w:val="footer"/>
    <w:basedOn w:val="Normal"/>
    <w:link w:val="FooterChar"/>
    <w:uiPriority w:val="99"/>
    <w:unhideWhenUsed/>
    <w:rsid w:val="00AF6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096191">
      <w:bodyDiv w:val="1"/>
      <w:marLeft w:val="0"/>
      <w:marRight w:val="0"/>
      <w:marTop w:val="0"/>
      <w:marBottom w:val="0"/>
      <w:divBdr>
        <w:top w:val="none" w:sz="0" w:space="0" w:color="auto"/>
        <w:left w:val="none" w:sz="0" w:space="0" w:color="auto"/>
        <w:bottom w:val="none" w:sz="0" w:space="0" w:color="auto"/>
        <w:right w:val="none" w:sz="0" w:space="0" w:color="auto"/>
      </w:divBdr>
    </w:div>
    <w:div w:id="131780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am.gov.in/" TargetMode="External"/><Relationship Id="rId13" Type="http://schemas.openxmlformats.org/officeDocument/2006/relationships/hyperlink" Target="https://enam.gov.in/" TargetMode="External"/><Relationship Id="rId18" Type="http://schemas.openxmlformats.org/officeDocument/2006/relationships/hyperlink" Target="https://enam.gov.i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enam.gov.in/" TargetMode="Externa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am.gov.in/" TargetMode="External"/><Relationship Id="rId5" Type="http://schemas.openxmlformats.org/officeDocument/2006/relationships/webSettings" Target="webSettings.xml"/><Relationship Id="rId15" Type="http://schemas.openxmlformats.org/officeDocument/2006/relationships/hyperlink" Target="https://enam.gov.in/"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am.gov.in/"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jpeg"/></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4091954961716"/>
          <c:y val="5.5396215285929654E-2"/>
          <c:w val="0.82767256657020438"/>
          <c:h val="0.7800294534807688"/>
        </c:manualLayout>
      </c:layout>
      <c:barChart>
        <c:barDir val="col"/>
        <c:grouping val="clustered"/>
        <c:varyColors val="0"/>
        <c:ser>
          <c:idx val="0"/>
          <c:order val="0"/>
          <c:tx>
            <c:strRef>
              <c:f>Sheet1!$N$1:$N$2</c:f>
              <c:strCache>
                <c:ptCount val="1"/>
                <c:pt idx="0">
                  <c:v>States No</c:v>
                </c:pt>
              </c:strCache>
            </c:strRef>
          </c:tx>
          <c:invertIfNegative val="0"/>
          <c:cat>
            <c:strRef>
              <c:f>Sheet1!$M$3:$M$29</c:f>
              <c:strCache>
                <c:ptCount val="27"/>
                <c:pt idx="0">
                  <c:v>UP</c:v>
                </c:pt>
                <c:pt idx="1">
                  <c:v>MP</c:v>
                </c:pt>
                <c:pt idx="2">
                  <c:v>HR</c:v>
                </c:pt>
                <c:pt idx="3">
                  <c:v>TL</c:v>
                </c:pt>
                <c:pt idx="4">
                  <c:v>RJ</c:v>
                </c:pt>
                <c:pt idx="5">
                  <c:v>AP</c:v>
                </c:pt>
                <c:pt idx="6">
                  <c:v>MH</c:v>
                </c:pt>
                <c:pt idx="7">
                  <c:v>GJ</c:v>
                </c:pt>
                <c:pt idx="8">
                  <c:v>TN</c:v>
                </c:pt>
                <c:pt idx="9">
                  <c:v>OD</c:v>
                </c:pt>
                <c:pt idx="10">
                  <c:v>JK</c:v>
                </c:pt>
                <c:pt idx="11">
                  <c:v>PB</c:v>
                </c:pt>
                <c:pt idx="12">
                  <c:v>CG</c:v>
                </c:pt>
                <c:pt idx="13">
                  <c:v>HP</c:v>
                </c:pt>
                <c:pt idx="14">
                  <c:v>UK</c:v>
                </c:pt>
                <c:pt idx="15">
                  <c:v>WB</c:v>
                </c:pt>
                <c:pt idx="16">
                  <c:v>J&amp;K</c:v>
                </c:pt>
                <c:pt idx="17">
                  <c:v>PD</c:v>
                </c:pt>
                <c:pt idx="18">
                  <c:v>BH</c:v>
                </c:pt>
                <c:pt idx="19">
                  <c:v>NG</c:v>
                </c:pt>
                <c:pt idx="20">
                  <c:v>GO</c:v>
                </c:pt>
                <c:pt idx="21">
                  <c:v>TP</c:v>
                </c:pt>
                <c:pt idx="22">
                  <c:v>KL</c:v>
                </c:pt>
                <c:pt idx="23">
                  <c:v>KN</c:v>
                </c:pt>
                <c:pt idx="24">
                  <c:v>AS</c:v>
                </c:pt>
                <c:pt idx="25">
                  <c:v>AN</c:v>
                </c:pt>
                <c:pt idx="26">
                  <c:v>CD</c:v>
                </c:pt>
              </c:strCache>
            </c:strRef>
          </c:cat>
          <c:val>
            <c:numRef>
              <c:f>Sheet1!$N$3:$N$29</c:f>
              <c:numCache>
                <c:formatCode>#,##0</c:formatCode>
                <c:ptCount val="27"/>
                <c:pt idx="0">
                  <c:v>3304454</c:v>
                </c:pt>
                <c:pt idx="1">
                  <c:v>3022868</c:v>
                </c:pt>
                <c:pt idx="2">
                  <c:v>2725658</c:v>
                </c:pt>
                <c:pt idx="3">
                  <c:v>1823929</c:v>
                </c:pt>
                <c:pt idx="4">
                  <c:v>1506858</c:v>
                </c:pt>
                <c:pt idx="5">
                  <c:v>1452101</c:v>
                </c:pt>
                <c:pt idx="6">
                  <c:v>1227650</c:v>
                </c:pt>
                <c:pt idx="7">
                  <c:v>869724</c:v>
                </c:pt>
                <c:pt idx="8">
                  <c:v>420974</c:v>
                </c:pt>
                <c:pt idx="9">
                  <c:v>374173</c:v>
                </c:pt>
                <c:pt idx="10">
                  <c:v>266323</c:v>
                </c:pt>
                <c:pt idx="11">
                  <c:v>217572</c:v>
                </c:pt>
                <c:pt idx="12">
                  <c:v>135774</c:v>
                </c:pt>
                <c:pt idx="13">
                  <c:v>125293</c:v>
                </c:pt>
                <c:pt idx="14">
                  <c:v>91086</c:v>
                </c:pt>
                <c:pt idx="15">
                  <c:v>77392</c:v>
                </c:pt>
                <c:pt idx="16">
                  <c:v>47459</c:v>
                </c:pt>
                <c:pt idx="17">
                  <c:v>13601</c:v>
                </c:pt>
                <c:pt idx="18">
                  <c:v>1950</c:v>
                </c:pt>
                <c:pt idx="19" formatCode="General">
                  <c:v>164</c:v>
                </c:pt>
                <c:pt idx="20" formatCode="General">
                  <c:v>29</c:v>
                </c:pt>
                <c:pt idx="21" formatCode="General">
                  <c:v>37</c:v>
                </c:pt>
                <c:pt idx="22">
                  <c:v>3082</c:v>
                </c:pt>
                <c:pt idx="23">
                  <c:v>1513</c:v>
                </c:pt>
                <c:pt idx="24" formatCode="General">
                  <c:v>31</c:v>
                </c:pt>
                <c:pt idx="25" formatCode="General">
                  <c:v>1</c:v>
                </c:pt>
                <c:pt idx="26">
                  <c:v>7108</c:v>
                </c:pt>
              </c:numCache>
            </c:numRef>
          </c:val>
        </c:ser>
        <c:dLbls>
          <c:showLegendKey val="0"/>
          <c:showVal val="0"/>
          <c:showCatName val="0"/>
          <c:showSerName val="0"/>
          <c:showPercent val="0"/>
          <c:showBubbleSize val="0"/>
        </c:dLbls>
        <c:gapWidth val="150"/>
        <c:axId val="144578048"/>
        <c:axId val="144579584"/>
      </c:barChart>
      <c:catAx>
        <c:axId val="144578048"/>
        <c:scaling>
          <c:orientation val="minMax"/>
        </c:scaling>
        <c:delete val="0"/>
        <c:axPos val="b"/>
        <c:majorTickMark val="out"/>
        <c:minorTickMark val="none"/>
        <c:tickLblPos val="nextTo"/>
        <c:txPr>
          <a:bodyPr/>
          <a:lstStyle/>
          <a:p>
            <a:pPr>
              <a:defRPr sz="1100" b="0">
                <a:latin typeface="Times New Roman" pitchFamily="18" charset="0"/>
                <a:cs typeface="Times New Roman" pitchFamily="18" charset="0"/>
              </a:defRPr>
            </a:pPr>
            <a:endParaRPr lang="en-US"/>
          </a:p>
        </c:txPr>
        <c:crossAx val="144579584"/>
        <c:crosses val="autoZero"/>
        <c:auto val="1"/>
        <c:lblAlgn val="ctr"/>
        <c:lblOffset val="100"/>
        <c:noMultiLvlLbl val="0"/>
      </c:catAx>
      <c:valAx>
        <c:axId val="144579584"/>
        <c:scaling>
          <c:orientation val="minMax"/>
        </c:scaling>
        <c:delete val="0"/>
        <c:axPos val="l"/>
        <c:majorGridlines/>
        <c:numFmt formatCode="#,##0" sourceLinked="1"/>
        <c:majorTickMark val="out"/>
        <c:minorTickMark val="none"/>
        <c:tickLblPos val="nextTo"/>
        <c:txPr>
          <a:bodyPr/>
          <a:lstStyle/>
          <a:p>
            <a:pPr>
              <a:defRPr sz="1100" b="0">
                <a:latin typeface="Times New Roman" pitchFamily="18" charset="0"/>
                <a:cs typeface="Times New Roman" pitchFamily="18" charset="0"/>
              </a:defRPr>
            </a:pPr>
            <a:endParaRPr lang="en-US"/>
          </a:p>
        </c:txPr>
        <c:crossAx val="144578048"/>
        <c:crosses val="autoZero"/>
        <c:crossBetween val="between"/>
      </c:valAx>
    </c:plotArea>
    <c:plotVisOnly val="1"/>
    <c:dispBlanksAs val="gap"/>
    <c:showDLblsOverMax val="0"/>
  </c:chart>
  <c:spPr>
    <a:blipFill>
      <a:blip xmlns:r="http://schemas.openxmlformats.org/officeDocument/2006/relationships" r:embed="rId1">
        <a:duotone>
          <a:schemeClr val="accent5">
            <a:tint val="30000"/>
            <a:satMod val="300000"/>
          </a:schemeClr>
          <a:schemeClr val="accent5">
            <a:tint val="40000"/>
            <a:satMod val="200000"/>
          </a:schemeClr>
        </a:duotone>
      </a:blip>
      <a:tile tx="0" ty="0" sx="70000" sy="70000" flip="none" algn="ctr"/>
    </a:blipFill>
    <a:ln w="9525" cap="flat" cmpd="sng" algn="ctr">
      <a:solidFill>
        <a:schemeClr val="accent5">
          <a:shade val="60000"/>
          <a:satMod val="110000"/>
        </a:schemeClr>
      </a:solidFill>
      <a:prstDash val="solid"/>
    </a:ln>
    <a:effectLst>
      <a:outerShdw blurRad="38100" dist="25400" dir="5400000" algn="t" rotWithShape="0">
        <a:srgbClr val="000000">
          <a:alpha val="50000"/>
        </a:srgbClr>
      </a:outerShdw>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2308547070615"/>
          <c:y val="4.1008435470696145E-2"/>
          <c:w val="0.85453023905608638"/>
          <c:h val="0.74392316625021504"/>
        </c:manualLayout>
      </c:layout>
      <c:barChart>
        <c:barDir val="col"/>
        <c:grouping val="clustered"/>
        <c:varyColors val="0"/>
        <c:ser>
          <c:idx val="0"/>
          <c:order val="0"/>
          <c:tx>
            <c:strRef>
              <c:f>Sheet1!$E$1:$E$2</c:f>
              <c:strCache>
                <c:ptCount val="1"/>
                <c:pt idx="0">
                  <c:v>States No</c:v>
                </c:pt>
              </c:strCache>
            </c:strRef>
          </c:tx>
          <c:invertIfNegative val="0"/>
          <c:cat>
            <c:strRef>
              <c:f>Sheet1!$D$3:$D$29</c:f>
              <c:strCache>
                <c:ptCount val="27"/>
                <c:pt idx="0">
                  <c:v>UP</c:v>
                </c:pt>
                <c:pt idx="1">
                  <c:v>MP</c:v>
                </c:pt>
                <c:pt idx="2">
                  <c:v>HR</c:v>
                </c:pt>
                <c:pt idx="3">
                  <c:v>TL</c:v>
                </c:pt>
                <c:pt idx="4">
                  <c:v>RJ</c:v>
                </c:pt>
                <c:pt idx="5">
                  <c:v>AP</c:v>
                </c:pt>
                <c:pt idx="6">
                  <c:v>MH</c:v>
                </c:pt>
                <c:pt idx="7">
                  <c:v>GJ</c:v>
                </c:pt>
                <c:pt idx="8">
                  <c:v>TN</c:v>
                </c:pt>
                <c:pt idx="9">
                  <c:v>OD</c:v>
                </c:pt>
                <c:pt idx="10">
                  <c:v>JK</c:v>
                </c:pt>
                <c:pt idx="11">
                  <c:v>PB</c:v>
                </c:pt>
                <c:pt idx="12">
                  <c:v>CG</c:v>
                </c:pt>
                <c:pt idx="13">
                  <c:v>HP</c:v>
                </c:pt>
                <c:pt idx="14">
                  <c:v>UK</c:v>
                </c:pt>
                <c:pt idx="15">
                  <c:v>WB</c:v>
                </c:pt>
                <c:pt idx="16">
                  <c:v>J&amp;K</c:v>
                </c:pt>
                <c:pt idx="17">
                  <c:v>PD</c:v>
                </c:pt>
                <c:pt idx="18">
                  <c:v>BH</c:v>
                </c:pt>
                <c:pt idx="19">
                  <c:v>NG</c:v>
                </c:pt>
                <c:pt idx="20">
                  <c:v>GO</c:v>
                </c:pt>
                <c:pt idx="21">
                  <c:v>TP</c:v>
                </c:pt>
                <c:pt idx="22">
                  <c:v>KL</c:v>
                </c:pt>
                <c:pt idx="23">
                  <c:v>KN</c:v>
                </c:pt>
                <c:pt idx="24">
                  <c:v>AS</c:v>
                </c:pt>
                <c:pt idx="25">
                  <c:v>AN</c:v>
                </c:pt>
                <c:pt idx="26">
                  <c:v>CD</c:v>
                </c:pt>
              </c:strCache>
            </c:strRef>
          </c:cat>
          <c:val>
            <c:numRef>
              <c:f>Sheet1!$E$3:$E$29</c:f>
              <c:numCache>
                <c:formatCode>#,##0</c:formatCode>
                <c:ptCount val="27"/>
                <c:pt idx="0">
                  <c:v>39304</c:v>
                </c:pt>
                <c:pt idx="1">
                  <c:v>24599</c:v>
                </c:pt>
                <c:pt idx="2">
                  <c:v>16815</c:v>
                </c:pt>
                <c:pt idx="3">
                  <c:v>6235</c:v>
                </c:pt>
                <c:pt idx="4">
                  <c:v>84693</c:v>
                </c:pt>
                <c:pt idx="5">
                  <c:v>3760</c:v>
                </c:pt>
                <c:pt idx="6">
                  <c:v>22274</c:v>
                </c:pt>
                <c:pt idx="7">
                  <c:v>10142</c:v>
                </c:pt>
                <c:pt idx="8">
                  <c:v>10910</c:v>
                </c:pt>
                <c:pt idx="9">
                  <c:v>9120</c:v>
                </c:pt>
                <c:pt idx="10">
                  <c:v>2493</c:v>
                </c:pt>
                <c:pt idx="11">
                  <c:v>2959</c:v>
                </c:pt>
                <c:pt idx="12">
                  <c:v>3438</c:v>
                </c:pt>
                <c:pt idx="13">
                  <c:v>2296</c:v>
                </c:pt>
                <c:pt idx="14">
                  <c:v>5822</c:v>
                </c:pt>
                <c:pt idx="15">
                  <c:v>5018</c:v>
                </c:pt>
                <c:pt idx="16">
                  <c:v>2643</c:v>
                </c:pt>
                <c:pt idx="17" formatCode="General">
                  <c:v>216</c:v>
                </c:pt>
                <c:pt idx="18" formatCode="General">
                  <c:v>499</c:v>
                </c:pt>
                <c:pt idx="19" formatCode="General">
                  <c:v>177</c:v>
                </c:pt>
                <c:pt idx="20" formatCode="General">
                  <c:v>877</c:v>
                </c:pt>
                <c:pt idx="21" formatCode="General">
                  <c:v>22</c:v>
                </c:pt>
                <c:pt idx="22" formatCode="General">
                  <c:v>430</c:v>
                </c:pt>
                <c:pt idx="23" formatCode="General">
                  <c:v>746</c:v>
                </c:pt>
                <c:pt idx="24" formatCode="General">
                  <c:v>8</c:v>
                </c:pt>
                <c:pt idx="25" formatCode="General">
                  <c:v>4</c:v>
                </c:pt>
                <c:pt idx="26" formatCode="General">
                  <c:v>121</c:v>
                </c:pt>
              </c:numCache>
            </c:numRef>
          </c:val>
        </c:ser>
        <c:dLbls>
          <c:showLegendKey val="0"/>
          <c:showVal val="0"/>
          <c:showCatName val="0"/>
          <c:showSerName val="0"/>
          <c:showPercent val="0"/>
          <c:showBubbleSize val="0"/>
        </c:dLbls>
        <c:gapWidth val="150"/>
        <c:axId val="141052160"/>
        <c:axId val="141144064"/>
      </c:barChart>
      <c:catAx>
        <c:axId val="141052160"/>
        <c:scaling>
          <c:orientation val="minMax"/>
        </c:scaling>
        <c:delete val="0"/>
        <c:axPos val="b"/>
        <c:majorTickMark val="none"/>
        <c:minorTickMark val="none"/>
        <c:tickLblPos val="nextTo"/>
        <c:txPr>
          <a:bodyPr/>
          <a:lstStyle/>
          <a:p>
            <a:pPr>
              <a:defRPr sz="1100" b="0">
                <a:latin typeface="Times New Roman" pitchFamily="18" charset="0"/>
                <a:cs typeface="Times New Roman" pitchFamily="18" charset="0"/>
              </a:defRPr>
            </a:pPr>
            <a:endParaRPr lang="en-US"/>
          </a:p>
        </c:txPr>
        <c:crossAx val="141144064"/>
        <c:crosses val="autoZero"/>
        <c:auto val="1"/>
        <c:lblAlgn val="ctr"/>
        <c:lblOffset val="100"/>
        <c:noMultiLvlLbl val="0"/>
      </c:catAx>
      <c:valAx>
        <c:axId val="141144064"/>
        <c:scaling>
          <c:orientation val="minMax"/>
        </c:scaling>
        <c:delete val="0"/>
        <c:axPos val="l"/>
        <c:majorGridlines/>
        <c:numFmt formatCode="#,##0" sourceLinked="1"/>
        <c:majorTickMark val="none"/>
        <c:minorTickMark val="none"/>
        <c:tickLblPos val="nextTo"/>
        <c:txPr>
          <a:bodyPr/>
          <a:lstStyle/>
          <a:p>
            <a:pPr>
              <a:defRPr sz="1100" b="0">
                <a:latin typeface="Times New Roman" pitchFamily="18" charset="0"/>
                <a:cs typeface="Times New Roman" pitchFamily="18" charset="0"/>
              </a:defRPr>
            </a:pPr>
            <a:endParaRPr lang="en-US"/>
          </a:p>
        </c:txPr>
        <c:crossAx val="141052160"/>
        <c:crosses val="autoZero"/>
        <c:crossBetween val="between"/>
      </c:valAx>
    </c:plotArea>
    <c:plotVisOnly val="1"/>
    <c:dispBlanksAs val="gap"/>
    <c:showDLblsOverMax val="0"/>
  </c:chart>
  <c:spPr>
    <a:blipFill>
      <a:blip xmlns:r="http://schemas.openxmlformats.org/officeDocument/2006/relationships" r:embed="rId1">
        <a:duotone>
          <a:schemeClr val="accent5">
            <a:tint val="30000"/>
            <a:satMod val="300000"/>
          </a:schemeClr>
          <a:schemeClr val="accent5">
            <a:tint val="40000"/>
            <a:satMod val="200000"/>
          </a:schemeClr>
        </a:duotone>
      </a:blip>
      <a:tile tx="0" ty="0" sx="70000" sy="70000" flip="none" algn="ctr"/>
    </a:blipFill>
    <a:ln w="9525" cap="flat" cmpd="sng" algn="ctr">
      <a:solidFill>
        <a:schemeClr val="accent5">
          <a:shade val="60000"/>
          <a:satMod val="110000"/>
        </a:schemeClr>
      </a:solidFill>
      <a:prstDash val="solid"/>
    </a:ln>
    <a:effectLst>
      <a:outerShdw blurRad="38100" dist="25400" dir="5400000" algn="t" rotWithShape="0">
        <a:srgbClr val="000000">
          <a:alpha val="50000"/>
        </a:srgbClr>
      </a:outerShdw>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70688699123873E-2"/>
          <c:y val="5.3838322980076042E-2"/>
          <c:w val="0.91297221776544357"/>
          <c:h val="0.7303861215209061"/>
        </c:manualLayout>
      </c:layout>
      <c:barChart>
        <c:barDir val="col"/>
        <c:grouping val="clustered"/>
        <c:varyColors val="0"/>
        <c:ser>
          <c:idx val="0"/>
          <c:order val="0"/>
          <c:tx>
            <c:strRef>
              <c:f>Sheet1!$H$1:$H$2</c:f>
              <c:strCache>
                <c:ptCount val="1"/>
                <c:pt idx="0">
                  <c:v>States No</c:v>
                </c:pt>
              </c:strCache>
            </c:strRef>
          </c:tx>
          <c:invertIfNegative val="0"/>
          <c:cat>
            <c:strRef>
              <c:f>Sheet1!$G$3:$G$29</c:f>
              <c:strCache>
                <c:ptCount val="27"/>
                <c:pt idx="0">
                  <c:v>UP</c:v>
                </c:pt>
                <c:pt idx="1">
                  <c:v>MP</c:v>
                </c:pt>
                <c:pt idx="2">
                  <c:v>HR</c:v>
                </c:pt>
                <c:pt idx="3">
                  <c:v>TL</c:v>
                </c:pt>
                <c:pt idx="4">
                  <c:v>RJ</c:v>
                </c:pt>
                <c:pt idx="5">
                  <c:v>AP</c:v>
                </c:pt>
                <c:pt idx="6">
                  <c:v>MH</c:v>
                </c:pt>
                <c:pt idx="7">
                  <c:v>GJ</c:v>
                </c:pt>
                <c:pt idx="8">
                  <c:v>TN</c:v>
                </c:pt>
                <c:pt idx="9">
                  <c:v>OD</c:v>
                </c:pt>
                <c:pt idx="10">
                  <c:v>JK</c:v>
                </c:pt>
                <c:pt idx="11">
                  <c:v>PB</c:v>
                </c:pt>
                <c:pt idx="12">
                  <c:v>CG</c:v>
                </c:pt>
                <c:pt idx="13">
                  <c:v>HP</c:v>
                </c:pt>
                <c:pt idx="14">
                  <c:v>UK</c:v>
                </c:pt>
                <c:pt idx="15">
                  <c:v>WB</c:v>
                </c:pt>
                <c:pt idx="16">
                  <c:v>J&amp;K</c:v>
                </c:pt>
                <c:pt idx="17">
                  <c:v>PD</c:v>
                </c:pt>
                <c:pt idx="18">
                  <c:v>BH</c:v>
                </c:pt>
                <c:pt idx="19">
                  <c:v>NG</c:v>
                </c:pt>
                <c:pt idx="20">
                  <c:v>GO</c:v>
                </c:pt>
                <c:pt idx="21">
                  <c:v>TP</c:v>
                </c:pt>
                <c:pt idx="22">
                  <c:v>KL</c:v>
                </c:pt>
                <c:pt idx="23">
                  <c:v>KN</c:v>
                </c:pt>
                <c:pt idx="24">
                  <c:v>AS</c:v>
                </c:pt>
                <c:pt idx="25">
                  <c:v>AN</c:v>
                </c:pt>
                <c:pt idx="26">
                  <c:v>CD</c:v>
                </c:pt>
              </c:strCache>
            </c:strRef>
          </c:cat>
          <c:val>
            <c:numRef>
              <c:f>Sheet1!$H$3:$H$29</c:f>
              <c:numCache>
                <c:formatCode>General</c:formatCode>
                <c:ptCount val="27"/>
                <c:pt idx="0">
                  <c:v>358</c:v>
                </c:pt>
                <c:pt idx="1">
                  <c:v>159</c:v>
                </c:pt>
                <c:pt idx="2">
                  <c:v>264</c:v>
                </c:pt>
                <c:pt idx="3">
                  <c:v>121</c:v>
                </c:pt>
                <c:pt idx="4">
                  <c:v>286</c:v>
                </c:pt>
                <c:pt idx="5">
                  <c:v>256</c:v>
                </c:pt>
                <c:pt idx="6">
                  <c:v>323</c:v>
                </c:pt>
                <c:pt idx="7">
                  <c:v>248</c:v>
                </c:pt>
                <c:pt idx="8">
                  <c:v>245</c:v>
                </c:pt>
                <c:pt idx="9">
                  <c:v>451</c:v>
                </c:pt>
                <c:pt idx="10">
                  <c:v>176</c:v>
                </c:pt>
                <c:pt idx="11">
                  <c:v>20</c:v>
                </c:pt>
                <c:pt idx="12">
                  <c:v>39</c:v>
                </c:pt>
                <c:pt idx="13">
                  <c:v>84</c:v>
                </c:pt>
                <c:pt idx="14">
                  <c:v>106</c:v>
                </c:pt>
                <c:pt idx="15">
                  <c:v>285</c:v>
                </c:pt>
                <c:pt idx="16">
                  <c:v>50</c:v>
                </c:pt>
                <c:pt idx="17">
                  <c:v>3</c:v>
                </c:pt>
                <c:pt idx="18">
                  <c:v>84</c:v>
                </c:pt>
                <c:pt idx="19">
                  <c:v>0</c:v>
                </c:pt>
                <c:pt idx="20">
                  <c:v>1</c:v>
                </c:pt>
                <c:pt idx="21">
                  <c:v>2</c:v>
                </c:pt>
                <c:pt idx="22">
                  <c:v>31</c:v>
                </c:pt>
                <c:pt idx="23">
                  <c:v>21</c:v>
                </c:pt>
                <c:pt idx="24">
                  <c:v>12</c:v>
                </c:pt>
                <c:pt idx="25">
                  <c:v>0</c:v>
                </c:pt>
                <c:pt idx="26">
                  <c:v>0</c:v>
                </c:pt>
              </c:numCache>
            </c:numRef>
          </c:val>
        </c:ser>
        <c:dLbls>
          <c:showLegendKey val="0"/>
          <c:showVal val="0"/>
          <c:showCatName val="0"/>
          <c:showSerName val="0"/>
          <c:showPercent val="0"/>
          <c:showBubbleSize val="0"/>
        </c:dLbls>
        <c:gapWidth val="150"/>
        <c:axId val="147688448"/>
        <c:axId val="147694336"/>
      </c:barChart>
      <c:catAx>
        <c:axId val="147688448"/>
        <c:scaling>
          <c:orientation val="minMax"/>
        </c:scaling>
        <c:delete val="0"/>
        <c:axPos val="b"/>
        <c:majorTickMark val="out"/>
        <c:minorTickMark val="none"/>
        <c:tickLblPos val="nextTo"/>
        <c:txPr>
          <a:bodyPr/>
          <a:lstStyle/>
          <a:p>
            <a:pPr>
              <a:defRPr sz="1100" b="0">
                <a:latin typeface="Times New Roman" pitchFamily="18" charset="0"/>
                <a:cs typeface="Times New Roman" pitchFamily="18" charset="0"/>
              </a:defRPr>
            </a:pPr>
            <a:endParaRPr lang="en-US"/>
          </a:p>
        </c:txPr>
        <c:crossAx val="147694336"/>
        <c:crosses val="autoZero"/>
        <c:auto val="1"/>
        <c:lblAlgn val="ctr"/>
        <c:lblOffset val="100"/>
        <c:noMultiLvlLbl val="0"/>
      </c:catAx>
      <c:valAx>
        <c:axId val="147694336"/>
        <c:scaling>
          <c:orientation val="minMax"/>
        </c:scaling>
        <c:delete val="0"/>
        <c:axPos val="l"/>
        <c:majorGridlines/>
        <c:numFmt formatCode="General" sourceLinked="1"/>
        <c:majorTickMark val="out"/>
        <c:minorTickMark val="none"/>
        <c:tickLblPos val="nextTo"/>
        <c:txPr>
          <a:bodyPr/>
          <a:lstStyle/>
          <a:p>
            <a:pPr>
              <a:defRPr sz="1100" b="0">
                <a:latin typeface="Times New Roman" pitchFamily="18" charset="0"/>
                <a:cs typeface="Times New Roman" pitchFamily="18" charset="0"/>
              </a:defRPr>
            </a:pPr>
            <a:endParaRPr lang="en-US"/>
          </a:p>
        </c:txPr>
        <c:crossAx val="147688448"/>
        <c:crosses val="autoZero"/>
        <c:crossBetween val="between"/>
      </c:valAx>
    </c:plotArea>
    <c:plotVisOnly val="1"/>
    <c:dispBlanksAs val="gap"/>
    <c:showDLblsOverMax val="0"/>
  </c:chart>
  <c:spPr>
    <a:blipFill>
      <a:blip xmlns:r="http://schemas.openxmlformats.org/officeDocument/2006/relationships" r:embed="rId1">
        <a:duotone>
          <a:schemeClr val="accent5">
            <a:tint val="30000"/>
            <a:satMod val="300000"/>
          </a:schemeClr>
          <a:schemeClr val="accent5">
            <a:tint val="40000"/>
            <a:satMod val="200000"/>
          </a:schemeClr>
        </a:duotone>
      </a:blip>
      <a:tile tx="0" ty="0" sx="70000" sy="70000" flip="none" algn="ctr"/>
    </a:blipFill>
    <a:ln w="9525" cap="flat" cmpd="sng" algn="ctr">
      <a:solidFill>
        <a:schemeClr val="accent5">
          <a:shade val="60000"/>
          <a:satMod val="110000"/>
        </a:schemeClr>
      </a:solidFill>
      <a:prstDash val="solid"/>
    </a:ln>
    <a:effectLst>
      <a:outerShdw blurRad="38100" dist="25400" dir="5400000" algn="t" rotWithShape="0">
        <a:srgbClr val="000000">
          <a:alpha val="50000"/>
        </a:srgbClr>
      </a:outerShdw>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82512107379186E-2"/>
          <c:y val="4.2388077558681236E-2"/>
          <c:w val="0.91861720755637188"/>
          <c:h val="0.75424317884792014"/>
        </c:manualLayout>
      </c:layout>
      <c:barChart>
        <c:barDir val="col"/>
        <c:grouping val="clustered"/>
        <c:varyColors val="0"/>
        <c:ser>
          <c:idx val="0"/>
          <c:order val="0"/>
          <c:tx>
            <c:strRef>
              <c:f>Sheet1!$B$1:$B$2</c:f>
              <c:strCache>
                <c:ptCount val="1"/>
                <c:pt idx="0">
                  <c:v>States No</c:v>
                </c:pt>
              </c:strCache>
            </c:strRef>
          </c:tx>
          <c:invertIfNegative val="0"/>
          <c:cat>
            <c:strRef>
              <c:f>Sheet1!$A$3:$A$29</c:f>
              <c:strCache>
                <c:ptCount val="27"/>
                <c:pt idx="0">
                  <c:v>UP</c:v>
                </c:pt>
                <c:pt idx="1">
                  <c:v>MP</c:v>
                </c:pt>
                <c:pt idx="2">
                  <c:v>HR</c:v>
                </c:pt>
                <c:pt idx="3">
                  <c:v>TL</c:v>
                </c:pt>
                <c:pt idx="4">
                  <c:v>RJ</c:v>
                </c:pt>
                <c:pt idx="5">
                  <c:v>AP</c:v>
                </c:pt>
                <c:pt idx="6">
                  <c:v>MH</c:v>
                </c:pt>
                <c:pt idx="7">
                  <c:v>GJ</c:v>
                </c:pt>
                <c:pt idx="8">
                  <c:v>TN</c:v>
                </c:pt>
                <c:pt idx="9">
                  <c:v>OD</c:v>
                </c:pt>
                <c:pt idx="10">
                  <c:v>JK</c:v>
                </c:pt>
                <c:pt idx="11">
                  <c:v>PB</c:v>
                </c:pt>
                <c:pt idx="12">
                  <c:v>CG</c:v>
                </c:pt>
                <c:pt idx="13">
                  <c:v>HP</c:v>
                </c:pt>
                <c:pt idx="14">
                  <c:v>UK</c:v>
                </c:pt>
                <c:pt idx="15">
                  <c:v>WB</c:v>
                </c:pt>
                <c:pt idx="16">
                  <c:v>J&amp;K</c:v>
                </c:pt>
                <c:pt idx="17">
                  <c:v>PD</c:v>
                </c:pt>
                <c:pt idx="18">
                  <c:v>BH</c:v>
                </c:pt>
                <c:pt idx="19">
                  <c:v>NG</c:v>
                </c:pt>
                <c:pt idx="20">
                  <c:v>GO</c:v>
                </c:pt>
                <c:pt idx="21">
                  <c:v>TP</c:v>
                </c:pt>
                <c:pt idx="22">
                  <c:v>KL</c:v>
                </c:pt>
                <c:pt idx="23">
                  <c:v>KN</c:v>
                </c:pt>
                <c:pt idx="24">
                  <c:v>AS</c:v>
                </c:pt>
                <c:pt idx="25">
                  <c:v>AN</c:v>
                </c:pt>
                <c:pt idx="26">
                  <c:v>CD</c:v>
                </c:pt>
              </c:strCache>
            </c:strRef>
          </c:cat>
          <c:val>
            <c:numRef>
              <c:f>Sheet1!$B$3:$B$29</c:f>
              <c:numCache>
                <c:formatCode>General</c:formatCode>
                <c:ptCount val="27"/>
                <c:pt idx="0">
                  <c:v>125</c:v>
                </c:pt>
                <c:pt idx="1">
                  <c:v>139</c:v>
                </c:pt>
                <c:pt idx="2">
                  <c:v>108</c:v>
                </c:pt>
                <c:pt idx="3">
                  <c:v>57</c:v>
                </c:pt>
                <c:pt idx="4">
                  <c:v>145</c:v>
                </c:pt>
                <c:pt idx="5">
                  <c:v>33</c:v>
                </c:pt>
                <c:pt idx="6">
                  <c:v>133</c:v>
                </c:pt>
                <c:pt idx="7">
                  <c:v>144</c:v>
                </c:pt>
                <c:pt idx="8">
                  <c:v>157</c:v>
                </c:pt>
                <c:pt idx="9">
                  <c:v>66</c:v>
                </c:pt>
                <c:pt idx="10">
                  <c:v>19</c:v>
                </c:pt>
                <c:pt idx="11">
                  <c:v>79</c:v>
                </c:pt>
                <c:pt idx="12">
                  <c:v>20</c:v>
                </c:pt>
                <c:pt idx="13">
                  <c:v>38</c:v>
                </c:pt>
                <c:pt idx="14">
                  <c:v>20</c:v>
                </c:pt>
                <c:pt idx="15">
                  <c:v>18</c:v>
                </c:pt>
                <c:pt idx="16">
                  <c:v>17</c:v>
                </c:pt>
                <c:pt idx="17">
                  <c:v>2</c:v>
                </c:pt>
                <c:pt idx="18">
                  <c:v>20</c:v>
                </c:pt>
                <c:pt idx="19">
                  <c:v>19</c:v>
                </c:pt>
                <c:pt idx="20">
                  <c:v>7</c:v>
                </c:pt>
                <c:pt idx="21">
                  <c:v>7</c:v>
                </c:pt>
                <c:pt idx="22">
                  <c:v>6</c:v>
                </c:pt>
                <c:pt idx="23">
                  <c:v>5</c:v>
                </c:pt>
                <c:pt idx="24">
                  <c:v>3</c:v>
                </c:pt>
                <c:pt idx="25">
                  <c:v>1</c:v>
                </c:pt>
                <c:pt idx="26">
                  <c:v>1</c:v>
                </c:pt>
              </c:numCache>
            </c:numRef>
          </c:val>
        </c:ser>
        <c:dLbls>
          <c:showLegendKey val="0"/>
          <c:showVal val="0"/>
          <c:showCatName val="0"/>
          <c:showSerName val="0"/>
          <c:showPercent val="0"/>
          <c:showBubbleSize val="0"/>
        </c:dLbls>
        <c:gapWidth val="150"/>
        <c:axId val="147709952"/>
        <c:axId val="147711488"/>
      </c:barChart>
      <c:catAx>
        <c:axId val="147709952"/>
        <c:scaling>
          <c:orientation val="minMax"/>
        </c:scaling>
        <c:delete val="0"/>
        <c:axPos val="b"/>
        <c:majorTickMark val="out"/>
        <c:minorTickMark val="none"/>
        <c:tickLblPos val="nextTo"/>
        <c:txPr>
          <a:bodyPr/>
          <a:lstStyle/>
          <a:p>
            <a:pPr>
              <a:defRPr sz="1100" b="0">
                <a:latin typeface="Times New Roman" pitchFamily="18" charset="0"/>
                <a:cs typeface="Times New Roman" pitchFamily="18" charset="0"/>
              </a:defRPr>
            </a:pPr>
            <a:endParaRPr lang="en-US"/>
          </a:p>
        </c:txPr>
        <c:crossAx val="147711488"/>
        <c:crosses val="autoZero"/>
        <c:auto val="1"/>
        <c:lblAlgn val="ctr"/>
        <c:lblOffset val="100"/>
        <c:noMultiLvlLbl val="0"/>
      </c:catAx>
      <c:valAx>
        <c:axId val="147711488"/>
        <c:scaling>
          <c:orientation val="minMax"/>
        </c:scaling>
        <c:delete val="0"/>
        <c:axPos val="l"/>
        <c:majorGridlines/>
        <c:numFmt formatCode="General" sourceLinked="1"/>
        <c:majorTickMark val="out"/>
        <c:minorTickMark val="none"/>
        <c:tickLblPos val="nextTo"/>
        <c:txPr>
          <a:bodyPr/>
          <a:lstStyle/>
          <a:p>
            <a:pPr>
              <a:defRPr sz="1100" b="0">
                <a:latin typeface="Times New Roman" pitchFamily="18" charset="0"/>
                <a:cs typeface="Times New Roman" pitchFamily="18" charset="0"/>
              </a:defRPr>
            </a:pPr>
            <a:endParaRPr lang="en-US"/>
          </a:p>
        </c:txPr>
        <c:crossAx val="147709952"/>
        <c:crosses val="autoZero"/>
        <c:crossBetween val="between"/>
      </c:valAx>
    </c:plotArea>
    <c:plotVisOnly val="1"/>
    <c:dispBlanksAs val="gap"/>
    <c:showDLblsOverMax val="0"/>
  </c:chart>
  <c:spPr>
    <a:blipFill>
      <a:blip xmlns:r="http://schemas.openxmlformats.org/officeDocument/2006/relationships" r:embed="rId1">
        <a:duotone>
          <a:schemeClr val="accent5">
            <a:tint val="30000"/>
            <a:satMod val="300000"/>
          </a:schemeClr>
          <a:schemeClr val="accent5">
            <a:tint val="40000"/>
            <a:satMod val="200000"/>
          </a:schemeClr>
        </a:duotone>
      </a:blip>
      <a:tile tx="0" ty="0" sx="70000" sy="70000" flip="none" algn="ctr"/>
    </a:blipFill>
    <a:ln w="9525" cap="flat" cmpd="sng" algn="ctr">
      <a:solidFill>
        <a:schemeClr val="accent5">
          <a:shade val="60000"/>
          <a:satMod val="110000"/>
        </a:schemeClr>
      </a:solidFill>
      <a:prstDash val="solid"/>
    </a:ln>
    <a:effectLst>
      <a:outerShdw blurRad="38100" dist="25400" dir="5400000" algn="t" rotWithShape="0">
        <a:srgbClr val="000000">
          <a:alpha val="50000"/>
        </a:srgbClr>
      </a:outerShdw>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IMON</dc:creator>
  <cp:lastModifiedBy>IMON</cp:lastModifiedBy>
  <cp:revision>38</cp:revision>
  <dcterms:created xsi:type="dcterms:W3CDTF">2024-04-21T19:16:00Z</dcterms:created>
  <dcterms:modified xsi:type="dcterms:W3CDTF">2024-05-19T11:10:00Z</dcterms:modified>
</cp:coreProperties>
</file>