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8" w:line="240" w:lineRule="auto"/>
        <w:jc w:val="center"/>
        <w:rPr>
          <w:b/>
          <w:sz w:val="32"/>
          <w:szCs w:val="32"/>
        </w:rPr>
      </w:pPr>
      <w:r>
        <w:rPr>
          <w:b/>
          <w:sz w:val="32"/>
          <w:szCs w:val="32"/>
        </w:rPr>
        <w:t xml:space="preserve">A </w:t>
      </w:r>
      <w:r>
        <w:rPr>
          <w:b/>
          <w:sz w:val="32"/>
          <w:szCs w:val="32"/>
          <w:lang w:val="en-GB"/>
        </w:rPr>
        <w:t>METAMATERIAL</w:t>
      </w:r>
      <w:r>
        <w:rPr>
          <w:b/>
          <w:sz w:val="32"/>
          <w:szCs w:val="32"/>
        </w:rPr>
        <w:t xml:space="preserve"> SLOTTED PATCH ANTENNA WITH</w:t>
      </w:r>
    </w:p>
    <w:p>
      <w:pPr>
        <w:pStyle w:val="9"/>
        <w:spacing w:before="8" w:line="240" w:lineRule="auto"/>
        <w:jc w:val="center"/>
        <w:rPr>
          <w:b/>
          <w:sz w:val="32"/>
          <w:szCs w:val="32"/>
        </w:rPr>
      </w:pPr>
      <w:r>
        <w:rPr>
          <w:b/>
          <w:sz w:val="32"/>
          <w:szCs w:val="32"/>
        </w:rPr>
        <w:t>METASURFACE</w:t>
      </w:r>
    </w:p>
    <w:p>
      <w:pPr>
        <w:pStyle w:val="14"/>
        <w:spacing w:before="100" w:beforeAutospacing="1" w:after="100" w:afterAutospacing="1" w:line="240" w:lineRule="auto"/>
        <w:jc w:val="both"/>
        <w:rPr>
          <w:sz w:val="16"/>
          <w:szCs w:val="16"/>
        </w:rPr>
      </w:pPr>
    </w:p>
    <w:p>
      <w:pPr>
        <w:pStyle w:val="14"/>
        <w:spacing w:before="100" w:beforeAutospacing="1" w:after="100" w:afterAutospacing="1" w:line="240" w:lineRule="auto"/>
        <w:rPr>
          <w:sz w:val="16"/>
          <w:szCs w:val="16"/>
        </w:rPr>
        <w:sectPr>
          <w:footerReference r:id="rId3" w:type="first"/>
          <w:pgSz w:w="11906" w:h="16838"/>
          <w:pgMar w:top="540" w:right="893" w:bottom="1440" w:left="893" w:header="720" w:footer="720" w:gutter="0"/>
          <w:cols w:space="720" w:num="1"/>
          <w:titlePg/>
          <w:docGrid w:linePitch="360" w:charSpace="0"/>
        </w:sectPr>
      </w:pPr>
    </w:p>
    <w:p>
      <w:pPr>
        <w:pStyle w:val="14"/>
        <w:spacing w:before="100" w:beforeAutospacing="1" w:line="240" w:lineRule="auto"/>
        <w:rPr>
          <w:rFonts w:hint="default"/>
          <w:sz w:val="18"/>
          <w:szCs w:val="18"/>
          <w:lang w:val="en-GB"/>
        </w:rPr>
      </w:pPr>
      <w:bookmarkStart w:id="0" w:name="_GoBack"/>
      <w:bookmarkEnd w:id="0"/>
      <w:r>
        <w:rPr>
          <w:rFonts w:hint="default"/>
          <w:sz w:val="18"/>
          <w:szCs w:val="18"/>
          <w:lang w:val="en-GB"/>
        </w:rPr>
        <w:t>Sivasankari Narasimhan</w:t>
      </w:r>
      <w:r>
        <w:rPr>
          <w:sz w:val="18"/>
          <w:szCs w:val="18"/>
        </w:rPr>
        <w:br w:type="textWrapping"/>
      </w:r>
      <w:r>
        <w:rPr>
          <w:rFonts w:hint="default"/>
          <w:sz w:val="18"/>
          <w:szCs w:val="18"/>
          <w:lang w:val="en-GB"/>
        </w:rPr>
        <w:t>Department of ECE,</w:t>
      </w:r>
      <w:r>
        <w:rPr>
          <w:i/>
          <w:sz w:val="18"/>
          <w:szCs w:val="18"/>
        </w:rPr>
        <w:t xml:space="preserve"> </w:t>
      </w:r>
      <w:r>
        <w:rPr>
          <w:i/>
          <w:sz w:val="18"/>
          <w:szCs w:val="18"/>
        </w:rPr>
        <w:br w:type="textWrapping"/>
      </w:r>
      <w:r>
        <w:rPr>
          <w:rFonts w:hint="default"/>
          <w:sz w:val="18"/>
          <w:szCs w:val="18"/>
          <w:lang w:val="en-GB"/>
        </w:rPr>
        <w:t>Mepco Schlenk Engineering College, Anna University</w:t>
      </w:r>
      <w:r>
        <w:rPr>
          <w:i/>
          <w:sz w:val="18"/>
          <w:szCs w:val="18"/>
        </w:rPr>
        <w:br w:type="textWrapping"/>
      </w:r>
      <w:r>
        <w:rPr>
          <w:rFonts w:hint="default"/>
          <w:sz w:val="18"/>
          <w:szCs w:val="18"/>
          <w:lang w:val="en-GB"/>
        </w:rPr>
        <w:t>Chennai,Tamilnadu, India</w:t>
      </w:r>
      <w:r>
        <w:rPr>
          <w:sz w:val="18"/>
          <w:szCs w:val="18"/>
        </w:rPr>
        <w:br w:type="textWrapping"/>
      </w:r>
      <w:r>
        <w:rPr>
          <w:rFonts w:hint="default"/>
          <w:sz w:val="18"/>
          <w:szCs w:val="18"/>
          <w:lang w:val="en-GB"/>
        </w:rPr>
        <w:t>sivasankari2015@mepcoeng.ac.in</w:t>
      </w:r>
    </w:p>
    <w:p>
      <w:pPr>
        <w:pStyle w:val="14"/>
        <w:spacing w:before="100" w:beforeAutospacing="1" w:line="240" w:lineRule="auto"/>
        <w:rPr>
          <w:rFonts w:hint="default"/>
          <w:sz w:val="18"/>
          <w:szCs w:val="18"/>
          <w:lang w:val="en-GB"/>
        </w:rPr>
      </w:pPr>
      <w:r>
        <w:rPr>
          <w:sz w:val="18"/>
          <w:szCs w:val="18"/>
        </w:rPr>
        <w:br w:type="column"/>
      </w:r>
      <w:r>
        <w:rPr>
          <w:rFonts w:hint="default"/>
          <w:sz w:val="18"/>
          <w:szCs w:val="18"/>
          <w:lang w:val="en-GB"/>
        </w:rPr>
        <w:t>Jeya Boomika Nathan</w:t>
      </w:r>
      <w:r>
        <w:rPr>
          <w:sz w:val="18"/>
          <w:szCs w:val="18"/>
        </w:rPr>
        <w:br w:type="textWrapping"/>
      </w:r>
      <w:r>
        <w:rPr>
          <w:rFonts w:hint="default"/>
          <w:sz w:val="18"/>
          <w:szCs w:val="18"/>
          <w:lang w:val="en-GB"/>
        </w:rPr>
        <w:t>Department of ECE,</w:t>
      </w:r>
      <w:r>
        <w:rPr>
          <w:i/>
          <w:sz w:val="18"/>
          <w:szCs w:val="18"/>
        </w:rPr>
        <w:t xml:space="preserve"> </w:t>
      </w:r>
      <w:r>
        <w:rPr>
          <w:i/>
          <w:sz w:val="18"/>
          <w:szCs w:val="18"/>
        </w:rPr>
        <w:br w:type="textWrapping"/>
      </w:r>
      <w:r>
        <w:rPr>
          <w:rFonts w:hint="default"/>
          <w:sz w:val="18"/>
          <w:szCs w:val="18"/>
          <w:lang w:val="en-GB"/>
        </w:rPr>
        <w:t>Mepco Schlenk Engineering College, Anna University</w:t>
      </w:r>
      <w:r>
        <w:rPr>
          <w:i/>
          <w:sz w:val="18"/>
          <w:szCs w:val="18"/>
        </w:rPr>
        <w:br w:type="textWrapping"/>
      </w:r>
      <w:r>
        <w:rPr>
          <w:rFonts w:hint="default"/>
          <w:sz w:val="18"/>
          <w:szCs w:val="18"/>
          <w:lang w:val="en-GB"/>
        </w:rPr>
        <w:t>Chennai,Tamilnadu, India</w:t>
      </w:r>
      <w:r>
        <w:rPr>
          <w:sz w:val="18"/>
          <w:szCs w:val="18"/>
        </w:rPr>
        <w:br w:type="textWrapping"/>
      </w:r>
      <w:r>
        <w:rPr>
          <w:rFonts w:hint="default"/>
          <w:sz w:val="18"/>
          <w:szCs w:val="18"/>
          <w:lang w:val="en-GB"/>
        </w:rPr>
        <w:t>boomikanathan23@gmail.com</w:t>
      </w:r>
    </w:p>
    <w:p>
      <w:pPr>
        <w:pStyle w:val="14"/>
        <w:spacing w:before="100" w:beforeAutospacing="1" w:line="240" w:lineRule="auto"/>
        <w:rPr>
          <w:rFonts w:hint="default"/>
          <w:sz w:val="18"/>
          <w:szCs w:val="18"/>
          <w:lang w:val="en-GB"/>
        </w:rPr>
      </w:pPr>
      <w:r>
        <w:rPr>
          <w:sz w:val="18"/>
          <w:szCs w:val="18"/>
        </w:rPr>
        <w:br w:type="column"/>
      </w:r>
      <w:r>
        <w:rPr>
          <w:rFonts w:hint="default"/>
          <w:sz w:val="18"/>
          <w:szCs w:val="18"/>
          <w:lang w:val="en-GB"/>
        </w:rPr>
        <w:t>Kiruthika Ravichandran</w:t>
      </w:r>
      <w:r>
        <w:rPr>
          <w:sz w:val="18"/>
          <w:szCs w:val="18"/>
        </w:rPr>
        <w:br w:type="textWrapping"/>
      </w:r>
      <w:r>
        <w:rPr>
          <w:rFonts w:hint="default"/>
          <w:sz w:val="18"/>
          <w:szCs w:val="18"/>
          <w:lang w:val="en-GB"/>
        </w:rPr>
        <w:t>Department of ECE,</w:t>
      </w:r>
      <w:r>
        <w:rPr>
          <w:i/>
          <w:sz w:val="18"/>
          <w:szCs w:val="18"/>
        </w:rPr>
        <w:t xml:space="preserve"> </w:t>
      </w:r>
      <w:r>
        <w:rPr>
          <w:i/>
          <w:sz w:val="18"/>
          <w:szCs w:val="18"/>
        </w:rPr>
        <w:br w:type="textWrapping"/>
      </w:r>
      <w:r>
        <w:rPr>
          <w:rFonts w:hint="default"/>
          <w:sz w:val="18"/>
          <w:szCs w:val="18"/>
          <w:lang w:val="en-GB"/>
        </w:rPr>
        <w:t>Mepco Schlenk Engineering College, Anna University</w:t>
      </w:r>
      <w:r>
        <w:rPr>
          <w:i/>
          <w:sz w:val="18"/>
          <w:szCs w:val="18"/>
        </w:rPr>
        <w:br w:type="textWrapping"/>
      </w:r>
      <w:r>
        <w:rPr>
          <w:rFonts w:hint="default"/>
          <w:sz w:val="18"/>
          <w:szCs w:val="18"/>
          <w:lang w:val="en-GB"/>
        </w:rPr>
        <w:t>Chennai,Tamilnadu, India</w:t>
      </w:r>
      <w:r>
        <w:rPr>
          <w:sz w:val="18"/>
          <w:szCs w:val="18"/>
        </w:rPr>
        <w:br w:type="textWrapping"/>
      </w:r>
      <w:r>
        <w:rPr>
          <w:rFonts w:hint="default"/>
          <w:sz w:val="18"/>
          <w:szCs w:val="18"/>
          <w:lang w:val="en-GB"/>
        </w:rPr>
        <w:t>kiruthikaraji19@gmail.com</w:t>
      </w:r>
    </w:p>
    <w:p>
      <w:pPr>
        <w:sectPr>
          <w:type w:val="continuous"/>
          <w:pgSz w:w="11906" w:h="16838"/>
          <w:pgMar w:top="450" w:right="893" w:bottom="1440" w:left="893" w:header="720" w:footer="720" w:gutter="0"/>
          <w:cols w:space="720" w:num="3"/>
          <w:docGrid w:linePitch="360" w:charSpace="0"/>
        </w:sectPr>
      </w:pPr>
    </w:p>
    <w:p>
      <w:pPr>
        <w:rPr>
          <w:b/>
          <w:bCs/>
        </w:rPr>
        <w:sectPr>
          <w:type w:val="continuous"/>
          <w:pgSz w:w="11906" w:h="16838"/>
          <w:pgMar w:top="450" w:right="893" w:bottom="1440" w:left="893" w:header="720" w:footer="720" w:gutter="0"/>
          <w:cols w:space="720" w:num="3"/>
          <w:docGrid w:linePitch="360" w:charSpace="0"/>
        </w:sectPr>
      </w:pPr>
      <w:r>
        <w:rPr>
          <w:b/>
          <w:bCs/>
        </w:rPr>
        <w:br w:type="column"/>
      </w:r>
    </w:p>
    <w:p>
      <w:pPr>
        <w:pStyle w:val="32"/>
        <w:spacing w:line="240" w:lineRule="auto"/>
        <w:jc w:val="both"/>
        <w:rPr>
          <w:sz w:val="21"/>
          <w:szCs w:val="21"/>
        </w:rPr>
      </w:pPr>
      <w:r>
        <w:rPr>
          <w:b/>
          <w:bCs/>
          <w:i/>
          <w:iCs/>
          <w:sz w:val="21"/>
          <w:szCs w:val="21"/>
        </w:rPr>
        <w:t>Abstract</w:t>
      </w:r>
      <w:r>
        <w:rPr>
          <w:sz w:val="21"/>
          <w:szCs w:val="21"/>
        </w:rPr>
        <w:t>—</w:t>
      </w:r>
      <w:r>
        <w:rPr>
          <w:b/>
          <w:bCs/>
          <w:sz w:val="21"/>
          <w:szCs w:val="21"/>
        </w:rPr>
        <w:t>In this project, a novel, compact, high-gain, directive, and superstrate configuration-based metasurface (MS) antenna has been designed, which incorporates a fractal-shaped slotted patch having a periodic arrangement of square patches along with a shorting via at its center and a couple of rectangular slots in the ground plane. The MS is designed over the FR4 dielectric by introducing a periodic arrangement of unit cells in which the unit cell is structured by a S-type patterned patches. The MS is separated by a layer from the conventional patch antenna designed over the FR4 dielectric, thereby acting as a superstrate. The proposed antenna provides good impedance matching across the frequency region of 10.14–10.94 GHz with a unidirectional radiation pattern. A maximum return loss of -18.4dB have been realized at 10.2GHz. As the proposed antenna is more efficient, it can be promoted for X-band operations, such as satellite communication, defense purpose, and medical supervision.</w:t>
      </w:r>
    </w:p>
    <w:p>
      <w:pPr>
        <w:pStyle w:val="12"/>
        <w:rPr>
          <w:i/>
          <w:iCs/>
        </w:rPr>
      </w:pPr>
    </w:p>
    <w:p>
      <w:pPr>
        <w:pStyle w:val="29"/>
        <w:rPr>
          <w:sz w:val="20"/>
          <w:szCs w:val="20"/>
        </w:rPr>
      </w:pPr>
      <w:r>
        <w:t>Keywords—</w:t>
      </w:r>
      <w:r>
        <w:rPr>
          <w:b/>
          <w:color w:val="231F20"/>
          <w:spacing w:val="-2"/>
          <w:sz w:val="22"/>
          <w:szCs w:val="22"/>
        </w:rPr>
        <w:t xml:space="preserve"> </w:t>
      </w:r>
      <w:r>
        <w:rPr>
          <w:b/>
          <w:color w:val="231F20"/>
          <w:spacing w:val="-1"/>
          <w:sz w:val="20"/>
          <w:szCs w:val="20"/>
        </w:rPr>
        <w:t>Metasurface</w:t>
      </w:r>
      <w:r>
        <w:rPr>
          <w:b/>
          <w:color w:val="231F20"/>
          <w:sz w:val="20"/>
          <w:szCs w:val="20"/>
        </w:rPr>
        <w:t xml:space="preserve"> </w:t>
      </w:r>
      <w:r>
        <w:rPr>
          <w:b/>
          <w:color w:val="231F20"/>
          <w:spacing w:val="-1"/>
          <w:sz w:val="20"/>
          <w:szCs w:val="20"/>
        </w:rPr>
        <w:t>(MS),</w:t>
      </w:r>
      <w:r>
        <w:rPr>
          <w:b/>
          <w:color w:val="231F20"/>
          <w:sz w:val="20"/>
          <w:szCs w:val="20"/>
        </w:rPr>
        <w:t xml:space="preserve"> </w:t>
      </w:r>
      <w:r>
        <w:rPr>
          <w:b/>
          <w:color w:val="231F20"/>
          <w:spacing w:val="-1"/>
          <w:sz w:val="20"/>
          <w:szCs w:val="20"/>
        </w:rPr>
        <w:t>microstrip,</w:t>
      </w:r>
      <w:r>
        <w:rPr>
          <w:b/>
          <w:color w:val="231F20"/>
          <w:sz w:val="20"/>
          <w:szCs w:val="20"/>
        </w:rPr>
        <w:t xml:space="preserve"> </w:t>
      </w:r>
      <w:r>
        <w:rPr>
          <w:b/>
          <w:color w:val="231F20"/>
          <w:spacing w:val="-1"/>
          <w:sz w:val="20"/>
          <w:szCs w:val="20"/>
        </w:rPr>
        <w:t>slotted</w:t>
      </w:r>
      <w:r>
        <w:rPr>
          <w:b/>
          <w:color w:val="231F20"/>
          <w:sz w:val="20"/>
          <w:szCs w:val="20"/>
        </w:rPr>
        <w:t xml:space="preserve"> </w:t>
      </w:r>
      <w:r>
        <w:rPr>
          <w:b/>
          <w:color w:val="231F20"/>
          <w:spacing w:val="-1"/>
          <w:sz w:val="20"/>
          <w:szCs w:val="20"/>
        </w:rPr>
        <w:t>fractal</w:t>
      </w:r>
      <w:r>
        <w:rPr>
          <w:b/>
          <w:color w:val="231F20"/>
          <w:sz w:val="20"/>
          <w:szCs w:val="20"/>
        </w:rPr>
        <w:t xml:space="preserve"> patch,</w:t>
      </w:r>
      <w:r>
        <w:rPr>
          <w:b/>
          <w:color w:val="231F20"/>
          <w:spacing w:val="19"/>
          <w:sz w:val="20"/>
          <w:szCs w:val="20"/>
        </w:rPr>
        <w:t xml:space="preserve"> </w:t>
      </w:r>
      <w:r>
        <w:rPr>
          <w:b/>
          <w:color w:val="231F20"/>
          <w:sz w:val="20"/>
          <w:szCs w:val="20"/>
        </w:rPr>
        <w:t>superstrate.</w:t>
      </w:r>
    </w:p>
    <w:p>
      <w:pPr>
        <w:pStyle w:val="2"/>
      </w:pPr>
      <w:r>
        <w:t>Introduction</w:t>
      </w:r>
    </w:p>
    <w:p>
      <w:pPr>
        <w:widowControl/>
        <w:autoSpaceDE/>
        <w:autoSpaceDN/>
        <w:spacing w:line="240" w:lineRule="auto"/>
        <w:jc w:val="both"/>
        <w:rPr>
          <w:sz w:val="20"/>
          <w:szCs w:val="20"/>
        </w:rPr>
      </w:pPr>
      <w:r>
        <w:rPr>
          <w:sz w:val="20"/>
          <w:szCs w:val="20"/>
        </w:rPr>
        <w:t>A metamaterial slotted patch antenna is a type of antenna that combines a slotted patch as the radiator and a metasurface as a superstrate. The metasurface, which consists of sub-wavelength resonators, is designed to manipulate the electromagnetic wave path, thereby enhancing the radiation performance of the antenna. This design offers high-gain, low-profile, and wideband performance, making it suitable for various applications such as communication, radar, and sensing. The metasurface's parameters, like the geometrical shape, size, and orientation of the meta-atoms, can be tuned to adjust the antenna's operating frequency and polarization. Although the design process is more complex and may require advanced simulation tools and potentially higher costs, the metamaterial slotted patch antenna's enhanced performance makes it an attractive option in modern technology.</w:t>
      </w:r>
    </w:p>
    <w:p>
      <w:pPr>
        <w:pStyle w:val="9"/>
      </w:pPr>
      <w:r>
        <w:t>.</w:t>
      </w:r>
    </w:p>
    <w:p>
      <w:pPr>
        <w:pStyle w:val="2"/>
        <w:rPr>
          <w:sz w:val="20"/>
          <w:szCs w:val="20"/>
        </w:rPr>
      </w:pPr>
      <w:r>
        <w:rPr>
          <w:rFonts w:hint="default"/>
          <w:lang w:val="en-GB"/>
        </w:rPr>
        <w:t>DESIGN PROCEDURE</w:t>
      </w:r>
    </w:p>
    <w:p>
      <w:pPr>
        <w:jc w:val="both"/>
        <w:rPr>
          <w:sz w:val="20"/>
          <w:szCs w:val="20"/>
        </w:rPr>
      </w:pPr>
      <w:r>
        <w:rPr>
          <w:sz w:val="20"/>
          <w:szCs w:val="20"/>
        </w:rPr>
        <w:t>The</w:t>
      </w:r>
      <w:r>
        <w:rPr>
          <w:spacing w:val="-3"/>
          <w:sz w:val="20"/>
          <w:szCs w:val="20"/>
        </w:rPr>
        <w:t xml:space="preserve"> </w:t>
      </w:r>
      <w:r>
        <w:rPr>
          <w:sz w:val="20"/>
          <w:szCs w:val="20"/>
        </w:rPr>
        <w:t>proposed</w:t>
      </w:r>
      <w:r>
        <w:rPr>
          <w:spacing w:val="-4"/>
          <w:sz w:val="20"/>
          <w:szCs w:val="20"/>
        </w:rPr>
        <w:t xml:space="preserve"> </w:t>
      </w:r>
      <w:r>
        <w:rPr>
          <w:sz w:val="20"/>
          <w:szCs w:val="20"/>
        </w:rPr>
        <w:t>antenna</w:t>
      </w:r>
      <w:r>
        <w:rPr>
          <w:spacing w:val="-4"/>
          <w:sz w:val="20"/>
          <w:szCs w:val="20"/>
        </w:rPr>
        <w:t xml:space="preserve"> </w:t>
      </w:r>
      <w:r>
        <w:rPr>
          <w:sz w:val="20"/>
          <w:szCs w:val="20"/>
        </w:rPr>
        <w:t>design</w:t>
      </w:r>
      <w:r>
        <w:rPr>
          <w:spacing w:val="-3"/>
          <w:sz w:val="20"/>
          <w:szCs w:val="20"/>
        </w:rPr>
        <w:t xml:space="preserve"> </w:t>
      </w:r>
      <w:r>
        <w:rPr>
          <w:sz w:val="20"/>
          <w:szCs w:val="20"/>
        </w:rPr>
        <w:t>has been</w:t>
      </w:r>
      <w:r>
        <w:rPr>
          <w:spacing w:val="-4"/>
          <w:sz w:val="20"/>
          <w:szCs w:val="20"/>
        </w:rPr>
        <w:t xml:space="preserve"> </w:t>
      </w:r>
      <w:r>
        <w:rPr>
          <w:sz w:val="20"/>
          <w:szCs w:val="20"/>
        </w:rPr>
        <w:t>designed</w:t>
      </w:r>
      <w:r>
        <w:rPr>
          <w:spacing w:val="-4"/>
          <w:sz w:val="20"/>
          <w:szCs w:val="20"/>
        </w:rPr>
        <w:t xml:space="preserve"> </w:t>
      </w:r>
      <w:r>
        <w:rPr>
          <w:sz w:val="20"/>
          <w:szCs w:val="20"/>
        </w:rPr>
        <w:t>and</w:t>
      </w:r>
      <w:r>
        <w:rPr>
          <w:spacing w:val="-1"/>
          <w:sz w:val="20"/>
          <w:szCs w:val="20"/>
        </w:rPr>
        <w:t xml:space="preserve"> </w:t>
      </w:r>
      <w:r>
        <w:rPr>
          <w:sz w:val="20"/>
          <w:szCs w:val="20"/>
        </w:rPr>
        <w:t>simulated</w:t>
      </w:r>
      <w:r>
        <w:rPr>
          <w:spacing w:val="-4"/>
          <w:sz w:val="20"/>
          <w:szCs w:val="20"/>
        </w:rPr>
        <w:t xml:space="preserve"> </w:t>
      </w:r>
      <w:r>
        <w:rPr>
          <w:sz w:val="20"/>
          <w:szCs w:val="20"/>
        </w:rPr>
        <w:t>using</w:t>
      </w:r>
      <w:r>
        <w:rPr>
          <w:spacing w:val="-2"/>
          <w:sz w:val="20"/>
          <w:szCs w:val="20"/>
        </w:rPr>
        <w:t xml:space="preserve"> </w:t>
      </w:r>
      <w:r>
        <w:rPr>
          <w:sz w:val="20"/>
          <w:szCs w:val="20"/>
        </w:rPr>
        <w:t>ANSYS</w:t>
      </w:r>
      <w:r>
        <w:rPr>
          <w:sz w:val="20"/>
          <w:szCs w:val="20"/>
          <w:lang w:val="en-GB"/>
        </w:rPr>
        <w:t xml:space="preserve"> </w:t>
      </w:r>
      <w:r>
        <w:rPr>
          <w:sz w:val="20"/>
          <w:szCs w:val="20"/>
        </w:rPr>
        <w:t>HFSS</w:t>
      </w:r>
      <w:r>
        <w:rPr>
          <w:spacing w:val="-10"/>
          <w:sz w:val="20"/>
          <w:szCs w:val="20"/>
        </w:rPr>
        <w:t xml:space="preserve"> </w:t>
      </w:r>
      <w:r>
        <w:rPr>
          <w:sz w:val="20"/>
          <w:szCs w:val="20"/>
        </w:rPr>
        <w:t>software.</w:t>
      </w:r>
      <w:r>
        <w:rPr>
          <w:spacing w:val="-11"/>
          <w:sz w:val="20"/>
          <w:szCs w:val="20"/>
        </w:rPr>
        <w:t xml:space="preserve"> </w:t>
      </w:r>
      <w:r>
        <w:rPr>
          <w:sz w:val="20"/>
          <w:szCs w:val="20"/>
        </w:rPr>
        <w:t>The</w:t>
      </w:r>
      <w:r>
        <w:rPr>
          <w:spacing w:val="-9"/>
          <w:sz w:val="20"/>
          <w:szCs w:val="20"/>
        </w:rPr>
        <w:t xml:space="preserve"> </w:t>
      </w:r>
      <w:r>
        <w:rPr>
          <w:sz w:val="20"/>
          <w:szCs w:val="20"/>
        </w:rPr>
        <w:t>metamaterial</w:t>
      </w:r>
      <w:r>
        <w:rPr>
          <w:spacing w:val="-7"/>
          <w:sz w:val="20"/>
          <w:szCs w:val="20"/>
        </w:rPr>
        <w:t xml:space="preserve"> </w:t>
      </w:r>
      <w:r>
        <w:rPr>
          <w:sz w:val="20"/>
          <w:szCs w:val="20"/>
        </w:rPr>
        <w:t>antenna</w:t>
      </w:r>
      <w:r>
        <w:rPr>
          <w:spacing w:val="-10"/>
          <w:sz w:val="20"/>
          <w:szCs w:val="20"/>
        </w:rPr>
        <w:t xml:space="preserve"> </w:t>
      </w:r>
      <w:r>
        <w:rPr>
          <w:sz w:val="20"/>
          <w:szCs w:val="20"/>
        </w:rPr>
        <w:t>design</w:t>
      </w:r>
      <w:r>
        <w:rPr>
          <w:spacing w:val="-9"/>
          <w:sz w:val="20"/>
          <w:szCs w:val="20"/>
        </w:rPr>
        <w:t xml:space="preserve"> </w:t>
      </w:r>
      <w:r>
        <w:rPr>
          <w:sz w:val="20"/>
          <w:szCs w:val="20"/>
        </w:rPr>
        <w:t>specifications</w:t>
      </w:r>
      <w:r>
        <w:rPr>
          <w:spacing w:val="-11"/>
          <w:sz w:val="20"/>
          <w:szCs w:val="20"/>
        </w:rPr>
        <w:t xml:space="preserve"> </w:t>
      </w:r>
      <w:r>
        <w:rPr>
          <w:sz w:val="20"/>
          <w:szCs w:val="20"/>
        </w:rPr>
        <w:t>are</w:t>
      </w:r>
      <w:r>
        <w:rPr>
          <w:spacing w:val="-9"/>
          <w:sz w:val="20"/>
          <w:szCs w:val="20"/>
        </w:rPr>
        <w:t xml:space="preserve"> </w:t>
      </w:r>
      <w:r>
        <w:rPr>
          <w:sz w:val="20"/>
          <w:szCs w:val="20"/>
        </w:rPr>
        <w:t>discussed</w:t>
      </w:r>
      <w:r>
        <w:rPr>
          <w:spacing w:val="-11"/>
          <w:sz w:val="20"/>
          <w:szCs w:val="20"/>
        </w:rPr>
        <w:t xml:space="preserve"> </w:t>
      </w:r>
      <w:r>
        <w:rPr>
          <w:sz w:val="20"/>
          <w:szCs w:val="20"/>
        </w:rPr>
        <w:t>below.</w:t>
      </w:r>
      <w:r>
        <w:rPr>
          <w:spacing w:val="-9"/>
          <w:sz w:val="20"/>
          <w:szCs w:val="20"/>
        </w:rPr>
        <w:t xml:space="preserve"> </w:t>
      </w:r>
      <w:r>
        <w:rPr>
          <w:sz w:val="20"/>
          <w:szCs w:val="20"/>
        </w:rPr>
        <w:t>The</w:t>
      </w:r>
      <w:r>
        <w:rPr>
          <w:spacing w:val="-57"/>
          <w:sz w:val="20"/>
          <w:szCs w:val="20"/>
        </w:rPr>
        <w:t xml:space="preserve">                   </w:t>
      </w:r>
      <w:r>
        <w:rPr>
          <w:sz w:val="20"/>
          <w:szCs w:val="20"/>
        </w:rPr>
        <w:t>step</w:t>
      </w:r>
      <w:r>
        <w:rPr>
          <w:spacing w:val="-1"/>
          <w:sz w:val="20"/>
          <w:szCs w:val="20"/>
        </w:rPr>
        <w:t xml:space="preserve"> </w:t>
      </w:r>
      <w:r>
        <w:rPr>
          <w:sz w:val="20"/>
          <w:szCs w:val="20"/>
        </w:rPr>
        <w:t>by step procedure</w:t>
      </w:r>
      <w:r>
        <w:rPr>
          <w:spacing w:val="-2"/>
          <w:sz w:val="20"/>
          <w:szCs w:val="20"/>
        </w:rPr>
        <w:t xml:space="preserve"> </w:t>
      </w:r>
      <w:r>
        <w:rPr>
          <w:sz w:val="20"/>
          <w:szCs w:val="20"/>
        </w:rPr>
        <w:t>for designing</w:t>
      </w:r>
      <w:r>
        <w:rPr>
          <w:spacing w:val="-1"/>
          <w:sz w:val="20"/>
          <w:szCs w:val="20"/>
        </w:rPr>
        <w:t xml:space="preserve"> </w:t>
      </w:r>
      <w:r>
        <w:rPr>
          <w:sz w:val="20"/>
          <w:szCs w:val="20"/>
        </w:rPr>
        <w:t>the</w:t>
      </w:r>
      <w:r>
        <w:rPr>
          <w:spacing w:val="1"/>
          <w:sz w:val="20"/>
          <w:szCs w:val="20"/>
        </w:rPr>
        <w:t xml:space="preserve"> </w:t>
      </w:r>
      <w:r>
        <w:rPr>
          <w:sz w:val="20"/>
          <w:szCs w:val="20"/>
        </w:rPr>
        <w:t>antenna</w:t>
      </w:r>
      <w:r>
        <w:rPr>
          <w:spacing w:val="-2"/>
          <w:sz w:val="20"/>
          <w:szCs w:val="20"/>
        </w:rPr>
        <w:t xml:space="preserve"> </w:t>
      </w:r>
      <w:r>
        <w:rPr>
          <w:sz w:val="20"/>
          <w:szCs w:val="20"/>
        </w:rPr>
        <w:t>is</w:t>
      </w:r>
      <w:r>
        <w:rPr>
          <w:spacing w:val="2"/>
          <w:sz w:val="20"/>
          <w:szCs w:val="20"/>
        </w:rPr>
        <w:t xml:space="preserve"> </w:t>
      </w:r>
      <w:r>
        <w:rPr>
          <w:sz w:val="20"/>
          <w:szCs w:val="20"/>
        </w:rPr>
        <w:t>given below.</w:t>
      </w:r>
    </w:p>
    <w:p>
      <w:pPr>
        <w:keepNext w:val="0"/>
        <w:keepLines w:val="0"/>
        <w:pageBreakBefore w:val="0"/>
        <w:widowControl/>
        <w:kinsoku/>
        <w:wordWrap/>
        <w:overflowPunct/>
        <w:topLinePunct w:val="0"/>
        <w:autoSpaceDE/>
        <w:autoSpaceDN/>
        <w:bidi w:val="0"/>
        <w:adjustRightInd/>
        <w:snapToGrid/>
        <w:jc w:val="both"/>
        <w:textAlignment w:val="auto"/>
        <w:rPr>
          <w:sz w:val="20"/>
          <w:szCs w:val="20"/>
        </w:rPr>
      </w:pPr>
    </w:p>
    <w:p>
      <w:pPr>
        <w:pStyle w:val="3"/>
        <w:rPr>
          <w:b w:val="0"/>
          <w:bCs w:val="0"/>
          <w:sz w:val="22"/>
          <w:szCs w:val="22"/>
        </w:rPr>
      </w:pPr>
      <w:r>
        <w:rPr>
          <w:b w:val="0"/>
          <w:bCs w:val="0"/>
          <w:sz w:val="22"/>
          <w:szCs w:val="22"/>
        </w:rPr>
        <w:t>CREATING A</w:t>
      </w:r>
      <w:r>
        <w:rPr>
          <w:b w:val="0"/>
          <w:bCs w:val="0"/>
          <w:spacing w:val="-2"/>
          <w:sz w:val="22"/>
          <w:szCs w:val="22"/>
        </w:rPr>
        <w:t xml:space="preserve"> </w:t>
      </w:r>
      <w:r>
        <w:rPr>
          <w:b w:val="0"/>
          <w:bCs w:val="0"/>
          <w:sz w:val="22"/>
          <w:szCs w:val="22"/>
        </w:rPr>
        <w:t>MODEL OR</w:t>
      </w:r>
      <w:r>
        <w:rPr>
          <w:b w:val="0"/>
          <w:bCs w:val="0"/>
          <w:spacing w:val="-2"/>
          <w:sz w:val="22"/>
          <w:szCs w:val="22"/>
        </w:rPr>
        <w:t xml:space="preserve"> </w:t>
      </w:r>
      <w:r>
        <w:rPr>
          <w:b w:val="0"/>
          <w:bCs w:val="0"/>
          <w:sz w:val="22"/>
          <w:szCs w:val="22"/>
        </w:rPr>
        <w:t>GEOMETRY</w:t>
      </w:r>
    </w:p>
    <w:p>
      <w:pPr>
        <w:jc w:val="both"/>
        <w:rPr>
          <w:rFonts w:hint="default"/>
          <w:sz w:val="20"/>
          <w:szCs w:val="20"/>
          <w:lang w:val="en-GB"/>
        </w:rPr>
      </w:pPr>
      <w:r>
        <w:rPr>
          <w:rFonts w:hint="default"/>
          <w:b w:val="0"/>
          <w:bCs w:val="0"/>
          <w:sz w:val="20"/>
          <w:szCs w:val="20"/>
          <w:lang w:val="en-GB"/>
        </w:rPr>
        <w:t>BOTTOM LAYER</w:t>
      </w:r>
    </w:p>
    <w:p>
      <w:pPr>
        <w:pStyle w:val="9"/>
        <w:spacing w:line="240" w:lineRule="auto"/>
        <w:ind w:left="0" w:leftChars="0" w:firstLine="0" w:firstLineChars="0"/>
        <w:rPr>
          <w:rFonts w:hint="default"/>
          <w:sz w:val="20"/>
          <w:szCs w:val="20"/>
          <w:lang w:val="en-GB"/>
        </w:rPr>
      </w:pPr>
      <w:r>
        <w:rPr>
          <w:sz w:val="20"/>
          <w:szCs w:val="20"/>
        </w:rPr>
        <w:t>The designed antenna accumulates with a square patch arranged in a fractal manner, where the shorting via is in the center of the patch and an array of square patches are arranged</w:t>
      </w:r>
      <w:r>
        <w:rPr>
          <w:rFonts w:hint="default"/>
          <w:sz w:val="20"/>
          <w:szCs w:val="20"/>
          <w:lang w:val="en-GB"/>
        </w:rPr>
        <w:t xml:space="preserve"> </w:t>
      </w:r>
      <w:r>
        <w:rPr>
          <w:sz w:val="20"/>
          <w:szCs w:val="20"/>
        </w:rPr>
        <w:t>in a regular manner on top of the patch. Dual-rectangular shaped slots have been established on the ground surface to enhance the impedance bandwidth of the antenna. The primary radiating element and the bottom layer of the antenna are separated by a 1.6 mm thick FR4 dielectric layer.</w:t>
      </w:r>
      <w:r>
        <w:rPr>
          <w:rFonts w:hint="default"/>
          <w:sz w:val="20"/>
          <w:szCs w:val="20"/>
          <w:lang w:val="en-GB"/>
        </w:rPr>
        <w:t xml:space="preserve">This layer is shown in the </w:t>
      </w:r>
      <w:r>
        <w:rPr>
          <w:sz w:val="20"/>
          <w:szCs w:val="20"/>
        </w:rPr>
        <w:t>Figure 1</w:t>
      </w:r>
      <w:r>
        <w:rPr>
          <w:rFonts w:hint="default"/>
          <w:sz w:val="20"/>
          <w:szCs w:val="20"/>
          <w:lang w:val="en-GB"/>
        </w:rPr>
        <w:t>.</w:t>
      </w:r>
    </w:p>
    <w:p>
      <w:pPr>
        <w:pStyle w:val="9"/>
        <w:spacing w:line="240" w:lineRule="auto"/>
        <w:rPr>
          <w:sz w:val="20"/>
          <w:szCs w:val="20"/>
        </w:rPr>
      </w:pPr>
    </w:p>
    <w:p>
      <w:pPr>
        <w:pStyle w:val="9"/>
        <w:spacing w:line="240" w:lineRule="auto"/>
        <w:rPr>
          <w:rFonts w:hint="default"/>
          <w:sz w:val="20"/>
          <w:szCs w:val="20"/>
          <w:lang w:val="en-GB"/>
        </w:rPr>
      </w:pPr>
    </w:p>
    <w:p>
      <w:pPr>
        <w:pStyle w:val="9"/>
        <w:spacing w:line="240" w:lineRule="auto"/>
        <w:ind w:left="0" w:leftChars="0" w:firstLine="0" w:firstLineChars="0"/>
        <w:rPr>
          <w:rFonts w:hint="default"/>
          <w:sz w:val="20"/>
          <w:szCs w:val="20"/>
          <w:lang w:val="en-GB"/>
        </w:rPr>
      </w:pPr>
      <w:r>
        <w:rPr>
          <w:rFonts w:hint="default"/>
          <w:sz w:val="20"/>
          <w:szCs w:val="20"/>
          <w:lang w:val="en-GB"/>
        </w:rPr>
        <w:t>TOP LAYER</w:t>
      </w:r>
    </w:p>
    <w:p>
      <w:pPr>
        <w:pStyle w:val="9"/>
        <w:spacing w:line="240" w:lineRule="auto"/>
        <w:ind w:left="0" w:leftChars="0" w:firstLine="0" w:firstLineChars="0"/>
        <w:rPr>
          <w:rFonts w:hint="default"/>
          <w:sz w:val="20"/>
          <w:szCs w:val="20"/>
          <w:lang w:val="en-GB"/>
        </w:rPr>
      </w:pPr>
      <w:r>
        <w:rPr>
          <w:sz w:val="20"/>
          <w:szCs w:val="20"/>
        </w:rPr>
        <w:t xml:space="preserve">An MS was used in the structure by combining a periodic arrangement of unit cells in which the unit cell is composed of a concentric S-type patterned patch significantly improve the gain of the antenna. The MS layer is also organized on the FR4 dielectric with a thickness of 0.8 mm. Moreover, the conventional patch and the MS layer have been separated by a 6 mm thick </w:t>
      </w:r>
      <w:r>
        <w:rPr>
          <w:sz w:val="20"/>
          <w:szCs w:val="20"/>
          <w:lang w:val="en-GB"/>
        </w:rPr>
        <w:t xml:space="preserve">air </w:t>
      </w:r>
      <w:r>
        <w:rPr>
          <w:sz w:val="20"/>
          <w:szCs w:val="20"/>
        </w:rPr>
        <w:t>substrate.The designed antenna works in the X-band region in which the operational band can be tuned by just adjusting the location of the shorting via and dimensions of the periodic slots</w:t>
      </w:r>
      <w:r>
        <w:rPr>
          <w:rFonts w:hint="default"/>
          <w:sz w:val="20"/>
          <w:szCs w:val="20"/>
          <w:lang w:val="en-GB"/>
        </w:rPr>
        <w:t xml:space="preserve">.This layer is shown in the </w:t>
      </w:r>
      <w:r>
        <w:rPr>
          <w:sz w:val="20"/>
          <w:szCs w:val="20"/>
        </w:rPr>
        <w:t xml:space="preserve">Figure </w:t>
      </w:r>
      <w:r>
        <w:rPr>
          <w:rFonts w:hint="default"/>
          <w:sz w:val="20"/>
          <w:szCs w:val="20"/>
          <w:lang w:val="en-GB"/>
        </w:rPr>
        <w:t>2.</w:t>
      </w:r>
    </w:p>
    <w:p>
      <w:pPr>
        <w:pStyle w:val="9"/>
        <w:rPr>
          <w:rFonts w:hint="default"/>
          <w:sz w:val="20"/>
          <w:szCs w:val="20"/>
          <w:lang w:val="en-GB"/>
        </w:rPr>
      </w:pPr>
    </w:p>
    <w:p>
      <w:pPr>
        <w:pStyle w:val="9"/>
        <w:rPr>
          <w:rFonts w:hint="default"/>
          <w:sz w:val="20"/>
          <w:szCs w:val="20"/>
          <w:lang w:val="en-GB"/>
        </w:rPr>
      </w:pPr>
      <w:r>
        <w:rPr>
          <w:lang w:eastAsia="en-IN"/>
        </w:rPr>
        <w:drawing>
          <wp:inline distT="0" distB="0" distL="0" distR="0">
            <wp:extent cx="2657475" cy="2022475"/>
            <wp:effectExtent l="137160" t="137160" r="146685" b="141605"/>
            <wp:docPr id="8" name="Picture 8" descr="C:\Users\Administrator\Pictures\Screenshots\Screenshot (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istrator\Pictures\Screenshots\Screenshot (364).png"/>
                    <pic:cNvPicPr>
                      <a:picLocks noChangeAspect="1" noChangeArrowheads="1"/>
                    </pic:cNvPicPr>
                  </pic:nvPicPr>
                  <pic:blipFill>
                    <a:blip r:embed="rId5">
                      <a:extLst>
                        <a:ext uri="{28A0092B-C50C-407E-A947-70E740481C1C}">
                          <a14:useLocalDpi xmlns:a14="http://schemas.microsoft.com/office/drawing/2010/main" val="0"/>
                        </a:ext>
                      </a:extLst>
                    </a:blip>
                    <a:srcRect l="32903" t="19343" r="22302" b="9194"/>
                    <a:stretch>
                      <a:fillRect/>
                    </a:stretch>
                  </pic:blipFill>
                  <pic:spPr>
                    <a:xfrm>
                      <a:off x="0" y="0"/>
                      <a:ext cx="2657475" cy="2022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pStyle w:val="9"/>
        <w:spacing w:line="240" w:lineRule="auto"/>
        <w:ind w:left="0" w:leftChars="0" w:firstLine="0" w:firstLineChars="0"/>
        <w:rPr>
          <w:sz w:val="20"/>
          <w:szCs w:val="20"/>
        </w:rPr>
      </w:pPr>
      <w:r>
        <w:rPr>
          <w:sz w:val="24"/>
          <w:szCs w:val="24"/>
        </w:rPr>
        <w:t xml:space="preserve"> </w:t>
      </w:r>
      <w:r>
        <w:rPr>
          <w:rFonts w:hint="default"/>
          <w:sz w:val="24"/>
          <w:szCs w:val="24"/>
          <w:lang w:val="en-GB"/>
        </w:rPr>
        <w:t xml:space="preserve">        </w:t>
      </w:r>
      <w:r>
        <w:rPr>
          <w:sz w:val="20"/>
          <w:szCs w:val="20"/>
        </w:rPr>
        <w:t>Figure 1: Bottom layer of the proposed structure</w:t>
      </w:r>
    </w:p>
    <w:p>
      <w:pPr>
        <w:pStyle w:val="9"/>
        <w:spacing w:line="240" w:lineRule="auto"/>
        <w:ind w:left="495" w:leftChars="0" w:hanging="495" w:hangingChars="250"/>
        <w:rPr>
          <w:sz w:val="20"/>
          <w:szCs w:val="20"/>
        </w:rPr>
      </w:pPr>
      <w:r>
        <w:drawing>
          <wp:inline distT="0" distB="0" distL="0" distR="0">
            <wp:extent cx="2772410" cy="2346325"/>
            <wp:effectExtent l="137160" t="137160" r="138430" b="13779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2772410" cy="2346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hint="default"/>
          <w:lang w:val="en-GB"/>
        </w:rPr>
        <w:t xml:space="preserve">   </w:t>
      </w:r>
      <w:r>
        <w:rPr>
          <w:sz w:val="20"/>
          <w:szCs w:val="20"/>
        </w:rPr>
        <w:t>Figure 2: Top view of the proposed structure</w:t>
      </w:r>
    </w:p>
    <w:p>
      <w:pPr>
        <w:pStyle w:val="3"/>
        <w:bidi w:val="0"/>
        <w:ind w:left="288" w:leftChars="0" w:hanging="288" w:firstLineChars="0"/>
      </w:pPr>
      <w:r>
        <w:t>Assignment of boundary</w:t>
      </w:r>
    </w:p>
    <w:p>
      <w:pPr>
        <w:pStyle w:val="9"/>
        <w:spacing w:line="240" w:lineRule="auto"/>
        <w:ind w:left="0" w:leftChars="0" w:firstLine="0" w:firstLineChars="0"/>
        <w:rPr>
          <w:sz w:val="20"/>
          <w:szCs w:val="20"/>
        </w:rPr>
      </w:pPr>
      <w:r>
        <w:rPr>
          <w:sz w:val="20"/>
          <w:szCs w:val="20"/>
        </w:rPr>
        <w:t>The next step is assigning the boundaries to the antenna structure. The open model in HFSS can be created by assigning the radiation boundaries. While simulating an antenna, the radiation boundary should be positioned in such a way, that it is quarter the wavelength away from the surface of radiation is shown in the fig 3. Assignment of boundary to the antenna structure is much essential as it have direct impact on the result provided by the HFSS software.</w:t>
      </w:r>
    </w:p>
    <w:p>
      <w:pPr>
        <w:pStyle w:val="3"/>
        <w:bidi w:val="0"/>
        <w:ind w:left="288" w:leftChars="0" w:hanging="288" w:firstLineChars="0"/>
        <w:rPr>
          <w:rFonts w:hint="default"/>
          <w:lang w:val="en-GB"/>
        </w:rPr>
      </w:pPr>
      <w:r>
        <w:rPr>
          <w:rFonts w:hint="default"/>
          <w:lang w:val="en-GB"/>
        </w:rPr>
        <w:t>Assignment of excitation</w:t>
      </w:r>
    </w:p>
    <w:p>
      <w:pPr>
        <w:spacing w:line="240" w:lineRule="auto"/>
        <w:jc w:val="both"/>
        <w:rPr>
          <w:rFonts w:hint="default"/>
          <w:sz w:val="20"/>
          <w:szCs w:val="20"/>
          <w:lang w:val="en-GB"/>
        </w:rPr>
      </w:pPr>
      <w:r>
        <w:rPr>
          <w:sz w:val="20"/>
          <w:szCs w:val="20"/>
        </w:rPr>
        <w:t>The excitations or ports needs to be connected after the assignment of boundaries gain this assignment of ports also plays a vital role. The antenna result provided by the HFSS software greatly depends on the assignment of excitations or ports. Hence it is highly recommended that the user needs to take intensive care while assigning the excitations. While assigning excitations care should be taken in assigning the direction to the port is shown in the fig 4</w:t>
      </w:r>
      <w:r>
        <w:rPr>
          <w:rFonts w:hint="default"/>
          <w:sz w:val="20"/>
          <w:szCs w:val="20"/>
          <w:lang w:val="en-GB"/>
        </w:rPr>
        <w:t>.</w:t>
      </w:r>
      <w:r>
        <w:rPr>
          <w:lang w:eastAsia="en-IN"/>
        </w:rPr>
        <w:drawing>
          <wp:inline distT="0" distB="0" distL="0" distR="0">
            <wp:extent cx="3190875" cy="1794510"/>
            <wp:effectExtent l="0" t="0" r="9525" b="3810"/>
            <wp:docPr id="15" name="Picture 15" descr="C:\Users\Administrator\Pictures\Screenshots\Screenshot (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dministrator\Pictures\Screenshots\Screenshot (37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90875" cy="1794510"/>
                    </a:xfrm>
                    <a:prstGeom prst="rect">
                      <a:avLst/>
                    </a:prstGeom>
                    <a:noFill/>
                    <a:ln>
                      <a:noFill/>
                    </a:ln>
                  </pic:spPr>
                </pic:pic>
              </a:graphicData>
            </a:graphic>
          </wp:inline>
        </w:drawing>
      </w:r>
    </w:p>
    <w:p>
      <w:pPr>
        <w:rPr>
          <w:b/>
          <w:bCs/>
        </w:rPr>
      </w:pPr>
      <w:r>
        <w:rPr>
          <w:b/>
          <w:bCs/>
        </w:rPr>
        <w:t xml:space="preserve"> </w:t>
      </w:r>
    </w:p>
    <w:p>
      <w:pPr>
        <w:rPr>
          <w:b/>
          <w:bCs/>
        </w:rPr>
      </w:pPr>
      <w:r>
        <w:rPr>
          <w:b/>
          <w:bCs/>
        </w:rPr>
        <w:t>Fig 3: Boundary assignment</w:t>
      </w:r>
    </w:p>
    <w:p>
      <w:pPr>
        <w:rPr>
          <w:b/>
          <w:bCs/>
        </w:rPr>
      </w:pPr>
    </w:p>
    <w:p>
      <w:pPr>
        <w:rPr>
          <w:b/>
          <w:bCs/>
        </w:rPr>
      </w:pPr>
      <w:r>
        <w:rPr>
          <w:lang w:eastAsia="en-IN"/>
        </w:rPr>
        <w:drawing>
          <wp:inline distT="0" distB="0" distL="0" distR="0">
            <wp:extent cx="3294380" cy="1851660"/>
            <wp:effectExtent l="0" t="0" r="12700" b="7620"/>
            <wp:docPr id="2" name="Picture 2" descr="C:\Users\Administrator\Pictures\Screenshots\Screenshot (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istrator\Pictures\Screenshots\Screenshot (37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94380" cy="1851660"/>
                    </a:xfrm>
                    <a:prstGeom prst="rect">
                      <a:avLst/>
                    </a:prstGeom>
                    <a:noFill/>
                    <a:ln>
                      <a:noFill/>
                    </a:ln>
                  </pic:spPr>
                </pic:pic>
              </a:graphicData>
            </a:graphic>
          </wp:inline>
        </w:drawing>
      </w:r>
    </w:p>
    <w:p>
      <w:pPr>
        <w:rPr>
          <w:b/>
          <w:bCs/>
        </w:rPr>
      </w:pPr>
    </w:p>
    <w:p>
      <w:pPr>
        <w:rPr>
          <w:b/>
          <w:bCs/>
        </w:rPr>
      </w:pPr>
      <w:r>
        <w:rPr>
          <w:b/>
          <w:bCs/>
        </w:rPr>
        <w:t>Fig 4 :Excitation assignment to the microstrip feed.</w:t>
      </w:r>
    </w:p>
    <w:p>
      <w:pPr>
        <w:rPr>
          <w:rFonts w:hint="default"/>
          <w:lang w:val="en-GB"/>
        </w:rPr>
      </w:pPr>
    </w:p>
    <w:p>
      <w:pPr>
        <w:jc w:val="both"/>
        <w:rPr>
          <w:rFonts w:hint="default"/>
          <w:lang w:val="en-GB"/>
        </w:rPr>
      </w:pPr>
    </w:p>
    <w:p>
      <w:pPr>
        <w:pStyle w:val="2"/>
      </w:pPr>
      <w:r>
        <w:rPr>
          <w:rFonts w:hint="default"/>
          <w:lang w:val="en-GB"/>
        </w:rPr>
        <w:t>SIMULATON RESULTS</w:t>
      </w:r>
    </w:p>
    <w:p>
      <w:pPr>
        <w:jc w:val="both"/>
        <w:rPr>
          <w:rFonts w:hint="default"/>
          <w:lang w:val="en-GB"/>
        </w:rPr>
      </w:pPr>
    </w:p>
    <w:p>
      <w:pPr>
        <w:numPr>
          <w:ilvl w:val="0"/>
          <w:numId w:val="8"/>
        </w:numPr>
        <w:jc w:val="both"/>
        <w:rPr>
          <w:rFonts w:hint="default"/>
          <w:lang w:val="en-GB"/>
        </w:rPr>
      </w:pPr>
      <w:r>
        <w:rPr>
          <w:rFonts w:hint="default"/>
          <w:i/>
          <w:iCs/>
          <w:lang w:val="en-GB"/>
        </w:rPr>
        <w:t>Return Loss</w:t>
      </w:r>
      <w:r>
        <w:rPr>
          <w:rFonts w:hint="default"/>
          <w:lang w:val="en-GB"/>
        </w:rPr>
        <w:tab/>
      </w:r>
    </w:p>
    <w:p>
      <w:pPr>
        <w:numPr>
          <w:ilvl w:val="0"/>
          <w:numId w:val="0"/>
        </w:numPr>
        <w:jc w:val="both"/>
        <w:rPr>
          <w:rFonts w:hint="default"/>
          <w:lang w:val="en-GB"/>
        </w:rPr>
      </w:pPr>
      <w:r>
        <w:rPr>
          <w:rFonts w:hint="default"/>
        </w:rPr>
        <w:t xml:space="preserve">Return loss is a crucial parameter that measures the efficiency of power transmission between the antenna and the transmission line. It is defined as the ratio of power reflected from the antenna to the power transmitted into the antenna, usually expressed in decibels (dB). A </w:t>
      </w:r>
      <w:r>
        <w:rPr>
          <w:rFonts w:hint="default"/>
          <w:lang w:val="en-GB"/>
        </w:rPr>
        <w:t>low</w:t>
      </w:r>
      <w:r>
        <w:rPr>
          <w:rFonts w:hint="default"/>
        </w:rPr>
        <w:t xml:space="preserve"> return loss indicates that most of the power is being transmitted into the antenna, with minimal reflection back towards the source.</w:t>
      </w:r>
    </w:p>
    <w:p>
      <w:r>
        <w:rPr>
          <w:lang w:eastAsia="en-IN"/>
        </w:rPr>
        <w:drawing>
          <wp:inline distT="0" distB="0" distL="0" distR="0">
            <wp:extent cx="3362960" cy="1731645"/>
            <wp:effectExtent l="0" t="0" r="5080" b="5715"/>
            <wp:docPr id="10" name="Picture 10" descr="C:\Users\Administrator\Pictures\Screenshots\Screenshot (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istrator\Pictures\Screenshots\Screenshot (366).png"/>
                    <pic:cNvPicPr>
                      <a:picLocks noChangeAspect="1" noChangeArrowheads="1"/>
                    </pic:cNvPicPr>
                  </pic:nvPicPr>
                  <pic:blipFill>
                    <a:blip r:embed="rId8">
                      <a:extLst>
                        <a:ext uri="{28A0092B-C50C-407E-A947-70E740481C1C}">
                          <a14:useLocalDpi xmlns:a14="http://schemas.microsoft.com/office/drawing/2010/main" val="0"/>
                        </a:ext>
                      </a:extLst>
                    </a:blip>
                    <a:srcRect l="18331" t="17708" r="1" b="7500"/>
                    <a:stretch>
                      <a:fillRect/>
                    </a:stretch>
                  </pic:blipFill>
                  <pic:spPr>
                    <a:xfrm>
                      <a:off x="0" y="0"/>
                      <a:ext cx="3362960" cy="1731645"/>
                    </a:xfrm>
                    <a:prstGeom prst="rect">
                      <a:avLst/>
                    </a:prstGeom>
                    <a:noFill/>
                    <a:ln>
                      <a:noFill/>
                    </a:ln>
                  </pic:spPr>
                </pic:pic>
              </a:graphicData>
            </a:graphic>
          </wp:inline>
        </w:drawing>
      </w:r>
    </w:p>
    <w:p>
      <w:pPr>
        <w:pStyle w:val="33"/>
        <w:tabs>
          <w:tab w:val="left" w:pos="2419"/>
        </w:tabs>
        <w:spacing w:before="131" w:line="276" w:lineRule="auto"/>
        <w:ind w:left="0" w:leftChars="0" w:firstLine="0" w:firstLineChars="0"/>
        <w:rPr>
          <w:lang w:val="en-IN" w:eastAsia="en-IN"/>
        </w:rPr>
      </w:pPr>
      <w:r>
        <w:rPr>
          <w:lang w:val="en-IN" w:eastAsia="en-IN"/>
        </w:rPr>
        <w:t>Fig 5: From this graph we have inferred that the return loss is -18.4dB which is obtained at the frequency of 10.2GHz.</w:t>
      </w:r>
    </w:p>
    <w:p>
      <w:pPr>
        <w:pStyle w:val="33"/>
        <w:numPr>
          <w:ilvl w:val="0"/>
          <w:numId w:val="8"/>
        </w:numPr>
        <w:tabs>
          <w:tab w:val="left" w:pos="2419"/>
        </w:tabs>
        <w:spacing w:before="131" w:line="276" w:lineRule="auto"/>
        <w:ind w:left="0" w:leftChars="0" w:firstLine="0" w:firstLineChars="0"/>
        <w:rPr>
          <w:rFonts w:hint="default"/>
          <w:i/>
          <w:iCs/>
          <w:lang w:val="en-GB" w:eastAsia="en-IN"/>
        </w:rPr>
      </w:pPr>
      <w:r>
        <w:rPr>
          <w:rFonts w:hint="default"/>
          <w:i/>
          <w:iCs/>
          <w:lang w:val="en-GB" w:eastAsia="en-IN"/>
        </w:rPr>
        <w:t>VSWR</w:t>
      </w:r>
    </w:p>
    <w:p>
      <w:pPr>
        <w:spacing w:line="240" w:lineRule="auto"/>
        <w:jc w:val="both"/>
        <w:rPr>
          <w:rFonts w:hint="default"/>
          <w:lang w:val="en-GB" w:eastAsia="en-IN"/>
        </w:rPr>
      </w:pPr>
      <w:r>
        <w:rPr>
          <w:rFonts w:hint="default"/>
        </w:rPr>
        <w:t>VSWR stands for Voltage Standing Wave Ratio. It is a measure used in radio frequency (RF) engineering to quantify how efficiently radio frequency power is transmitted from a power source, such as a transmitter, to a load, such as an antenna or a transmission line.</w:t>
      </w:r>
    </w:p>
    <w:p>
      <w:pPr>
        <w:pStyle w:val="33"/>
        <w:tabs>
          <w:tab w:val="left" w:pos="2419"/>
        </w:tabs>
        <w:spacing w:before="131" w:line="276" w:lineRule="auto"/>
        <w:ind w:left="0" w:leftChars="0" w:firstLine="0" w:firstLineChars="0"/>
        <w:rPr>
          <w:rFonts w:hint="default"/>
          <w:lang w:val="en-GB" w:eastAsia="en-IN"/>
        </w:rPr>
      </w:pPr>
      <w:r>
        <w:rPr>
          <w:lang w:eastAsia="en-IN"/>
        </w:rPr>
        <w:drawing>
          <wp:inline distT="0" distB="0" distL="0" distR="0">
            <wp:extent cx="3198495" cy="2232025"/>
            <wp:effectExtent l="0" t="0" r="1905" b="8255"/>
            <wp:docPr id="12" name="Picture 12" descr="C:\Users\Administrator\Pictures\Screenshots\Screenshot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dministrator\Pictures\Screenshots\Screenshot (368).png"/>
                    <pic:cNvPicPr>
                      <a:picLocks noChangeAspect="1" noChangeArrowheads="1"/>
                    </pic:cNvPicPr>
                  </pic:nvPicPr>
                  <pic:blipFill>
                    <a:blip r:embed="rId9">
                      <a:extLst>
                        <a:ext uri="{28A0092B-C50C-407E-A947-70E740481C1C}">
                          <a14:useLocalDpi xmlns:a14="http://schemas.microsoft.com/office/drawing/2010/main" val="0"/>
                        </a:ext>
                      </a:extLst>
                    </a:blip>
                    <a:srcRect l="19087" t="17243" r="324" b="7387"/>
                    <a:stretch>
                      <a:fillRect/>
                    </a:stretch>
                  </pic:blipFill>
                  <pic:spPr>
                    <a:xfrm>
                      <a:off x="0" y="0"/>
                      <a:ext cx="3198495" cy="2232025"/>
                    </a:xfrm>
                    <a:prstGeom prst="rect">
                      <a:avLst/>
                    </a:prstGeom>
                    <a:noFill/>
                    <a:ln>
                      <a:noFill/>
                    </a:ln>
                  </pic:spPr>
                </pic:pic>
              </a:graphicData>
            </a:graphic>
          </wp:inline>
        </w:drawing>
      </w:r>
    </w:p>
    <w:p>
      <w:pPr>
        <w:pStyle w:val="33"/>
        <w:tabs>
          <w:tab w:val="left" w:pos="2419"/>
        </w:tabs>
        <w:spacing w:before="131" w:line="276" w:lineRule="auto"/>
        <w:ind w:left="0" w:leftChars="0" w:firstLine="0" w:firstLineChars="0"/>
        <w:rPr>
          <w:lang w:eastAsia="en-IN"/>
        </w:rPr>
      </w:pPr>
      <w:r>
        <w:rPr>
          <w:lang w:eastAsia="en-IN"/>
        </w:rPr>
        <w:t>Fig 6: The standing wave ratio is obtained at 10.2Hz as 1.27726.</w:t>
      </w:r>
    </w:p>
    <w:p>
      <w:pPr>
        <w:pStyle w:val="33"/>
        <w:numPr>
          <w:ilvl w:val="0"/>
          <w:numId w:val="8"/>
        </w:numPr>
        <w:tabs>
          <w:tab w:val="left" w:pos="2419"/>
        </w:tabs>
        <w:spacing w:before="131" w:line="276" w:lineRule="auto"/>
        <w:ind w:left="0" w:leftChars="0" w:firstLine="0" w:firstLineChars="0"/>
        <w:rPr>
          <w:rFonts w:hint="default"/>
          <w:i/>
          <w:iCs/>
          <w:lang w:val="en-GB" w:eastAsia="en-IN"/>
        </w:rPr>
      </w:pPr>
      <w:r>
        <w:rPr>
          <w:rFonts w:hint="default"/>
          <w:i/>
          <w:iCs/>
          <w:lang w:val="en-GB" w:eastAsia="en-IN"/>
        </w:rPr>
        <w:t>E-Plane AND H-Plane</w:t>
      </w:r>
    </w:p>
    <w:p>
      <w:pPr>
        <w:pStyle w:val="33"/>
        <w:numPr>
          <w:ilvl w:val="0"/>
          <w:numId w:val="0"/>
        </w:numPr>
        <w:tabs>
          <w:tab w:val="left" w:pos="2419"/>
        </w:tabs>
        <w:spacing w:before="131" w:line="276" w:lineRule="auto"/>
        <w:ind w:leftChars="0"/>
        <w:rPr>
          <w:rFonts w:hint="default"/>
        </w:rPr>
      </w:pPr>
      <w:r>
        <w:rPr>
          <w:rFonts w:hint="default"/>
        </w:rPr>
        <w:t xml:space="preserve"> The E-field pattern represents the distribution of the electric field surrounding the antenna. It shows the intensity and direction of the electric field vectors at various points in space around the antenna. </w:t>
      </w:r>
    </w:p>
    <w:p>
      <w:pPr>
        <w:pStyle w:val="33"/>
        <w:numPr>
          <w:ilvl w:val="0"/>
          <w:numId w:val="0"/>
        </w:numPr>
        <w:tabs>
          <w:tab w:val="left" w:pos="2419"/>
        </w:tabs>
        <w:spacing w:before="131" w:line="276" w:lineRule="auto"/>
        <w:ind w:leftChars="0"/>
        <w:rPr>
          <w:rFonts w:hint="default"/>
        </w:rPr>
      </w:pPr>
      <w:r>
        <w:rPr>
          <w:rFonts w:hint="default"/>
        </w:rPr>
        <w:t>The H-field pattern depicts the distribution of the magnetic field surrounding the antenna. Similar to the E-field pattern, it shows the intensity and direction of the magnetic field vectors at different points in space around the antenna.</w:t>
      </w:r>
    </w:p>
    <w:p>
      <w:pPr>
        <w:pStyle w:val="33"/>
        <w:numPr>
          <w:ilvl w:val="0"/>
          <w:numId w:val="0"/>
        </w:numPr>
        <w:tabs>
          <w:tab w:val="left" w:pos="2419"/>
        </w:tabs>
        <w:spacing w:before="131" w:line="276" w:lineRule="auto"/>
        <w:ind w:leftChars="0"/>
        <w:rPr>
          <w:rFonts w:hint="default"/>
        </w:rPr>
      </w:pPr>
      <w:r>
        <w:rPr>
          <w:rFonts w:hint="default"/>
        </w:rPr>
        <w:t xml:space="preserve"> </w:t>
      </w:r>
      <w:r>
        <w:rPr>
          <w:rFonts w:hint="default"/>
          <w:lang w:val="en-GB"/>
        </w:rPr>
        <w:t>Both the field</w:t>
      </w:r>
      <w:r>
        <w:rPr>
          <w:rFonts w:hint="default"/>
        </w:rPr>
        <w:t xml:space="preserve"> pattern</w:t>
      </w:r>
      <w:r>
        <w:rPr>
          <w:rFonts w:hint="default"/>
          <w:lang w:val="en-GB"/>
        </w:rPr>
        <w:t>s</w:t>
      </w:r>
      <w:r>
        <w:rPr>
          <w:rFonts w:hint="default"/>
        </w:rPr>
        <w:t xml:space="preserve"> provides </w:t>
      </w:r>
      <w:r>
        <w:rPr>
          <w:rFonts w:hint="default"/>
          <w:lang w:val="en-GB"/>
        </w:rPr>
        <w:t xml:space="preserve">insights </w:t>
      </w:r>
      <w:r>
        <w:rPr>
          <w:rFonts w:hint="default"/>
        </w:rPr>
        <w:t>about the antenna's radiation characteristics, including its polarization, directivity, and radiation efficiency.</w:t>
      </w:r>
    </w:p>
    <w:p>
      <w:pPr>
        <w:pStyle w:val="33"/>
        <w:numPr>
          <w:ilvl w:val="0"/>
          <w:numId w:val="0"/>
        </w:numPr>
        <w:tabs>
          <w:tab w:val="left" w:pos="2419"/>
        </w:tabs>
        <w:spacing w:before="131" w:line="276" w:lineRule="auto"/>
        <w:ind w:leftChars="0"/>
        <w:rPr>
          <w:rFonts w:hint="default"/>
          <w:lang w:val="en-GB" w:eastAsia="en-IN"/>
        </w:rPr>
      </w:pPr>
    </w:p>
    <w:p>
      <w:pPr>
        <w:pStyle w:val="33"/>
        <w:numPr>
          <w:ilvl w:val="0"/>
          <w:numId w:val="0"/>
        </w:numPr>
        <w:tabs>
          <w:tab w:val="left" w:pos="2419"/>
        </w:tabs>
        <w:spacing w:before="131" w:line="276" w:lineRule="auto"/>
        <w:ind w:leftChars="0"/>
        <w:rPr>
          <w:rFonts w:hint="default"/>
          <w:lang w:val="en-GB" w:eastAsia="en-IN"/>
        </w:rPr>
      </w:pPr>
      <w:r>
        <w:rPr>
          <w:lang w:eastAsia="en-IN"/>
        </w:rPr>
        <w:drawing>
          <wp:inline distT="0" distB="0" distL="0" distR="0">
            <wp:extent cx="3150870" cy="1977390"/>
            <wp:effectExtent l="0" t="0" r="3810" b="3810"/>
            <wp:docPr id="13" name="Picture 13" descr="C:\Users\Administrator\Pictures\Screenshots\Screenshot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dministrator\Pictures\Screenshots\Screenshot (369).png"/>
                    <pic:cNvPicPr>
                      <a:picLocks noChangeAspect="1" noChangeArrowheads="1"/>
                    </pic:cNvPicPr>
                  </pic:nvPicPr>
                  <pic:blipFill>
                    <a:blip r:embed="rId10">
                      <a:extLst>
                        <a:ext uri="{28A0092B-C50C-407E-A947-70E740481C1C}">
                          <a14:useLocalDpi xmlns:a14="http://schemas.microsoft.com/office/drawing/2010/main" val="0"/>
                        </a:ext>
                      </a:extLst>
                    </a:blip>
                    <a:srcRect l="19006" t="18203" r="581" b="8747"/>
                    <a:stretch>
                      <a:fillRect/>
                    </a:stretch>
                  </pic:blipFill>
                  <pic:spPr>
                    <a:xfrm>
                      <a:off x="0" y="0"/>
                      <a:ext cx="3150870" cy="1977390"/>
                    </a:xfrm>
                    <a:prstGeom prst="rect">
                      <a:avLst/>
                    </a:prstGeom>
                    <a:noFill/>
                    <a:ln>
                      <a:noFill/>
                    </a:ln>
                  </pic:spPr>
                </pic:pic>
              </a:graphicData>
            </a:graphic>
          </wp:inline>
        </w:drawing>
      </w:r>
    </w:p>
    <w:p>
      <w:pPr>
        <w:pStyle w:val="33"/>
        <w:tabs>
          <w:tab w:val="left" w:pos="2419"/>
        </w:tabs>
        <w:spacing w:before="131" w:line="276" w:lineRule="auto"/>
        <w:ind w:left="0" w:leftChars="0" w:firstLine="0" w:firstLineChars="0"/>
        <w:rPr>
          <w:lang w:val="en-IN" w:eastAsia="en-IN"/>
        </w:rPr>
      </w:pPr>
    </w:p>
    <w:p>
      <w:pPr>
        <w:pStyle w:val="33"/>
        <w:tabs>
          <w:tab w:val="left" w:pos="2419"/>
        </w:tabs>
        <w:spacing w:before="131" w:line="276" w:lineRule="auto"/>
        <w:ind w:left="0" w:leftChars="0" w:firstLine="0" w:firstLineChars="0"/>
        <w:rPr>
          <w:lang w:eastAsia="en-IN"/>
        </w:rPr>
      </w:pPr>
      <w:r>
        <w:rPr>
          <w:lang w:eastAsia="en-IN"/>
        </w:rPr>
        <w:t>Fig7:The</w:t>
      </w:r>
      <w:r>
        <w:rPr>
          <w:rFonts w:hint="default"/>
          <w:lang w:val="en-GB" w:eastAsia="en-IN"/>
        </w:rPr>
        <w:t xml:space="preserve"> </w:t>
      </w:r>
      <w:r>
        <w:rPr>
          <w:lang w:eastAsia="en-IN"/>
        </w:rPr>
        <w:t xml:space="preserve">E plane and H plane radiation pattern mearurements of the designed antenna is given above.    </w:t>
      </w:r>
    </w:p>
    <w:p>
      <w:pPr>
        <w:pStyle w:val="33"/>
        <w:tabs>
          <w:tab w:val="left" w:pos="2419"/>
        </w:tabs>
        <w:spacing w:before="131" w:line="276" w:lineRule="auto"/>
        <w:ind w:left="0" w:leftChars="0" w:firstLine="0" w:firstLineChars="0"/>
        <w:rPr>
          <w:lang w:eastAsia="en-IN"/>
        </w:rPr>
      </w:pPr>
    </w:p>
    <w:p>
      <w:pPr>
        <w:pStyle w:val="33"/>
        <w:numPr>
          <w:ilvl w:val="0"/>
          <w:numId w:val="8"/>
        </w:numPr>
        <w:tabs>
          <w:tab w:val="left" w:pos="2419"/>
        </w:tabs>
        <w:spacing w:before="131" w:line="276" w:lineRule="auto"/>
        <w:ind w:left="0" w:leftChars="0" w:firstLine="0" w:firstLineChars="0"/>
        <w:rPr>
          <w:rFonts w:hint="default"/>
          <w:i/>
          <w:iCs/>
          <w:lang w:val="en-GB" w:eastAsia="en-IN"/>
        </w:rPr>
      </w:pPr>
      <w:r>
        <w:rPr>
          <w:rFonts w:hint="default"/>
          <w:i/>
          <w:iCs/>
          <w:lang w:val="en-GB" w:eastAsia="en-IN"/>
        </w:rPr>
        <w:t>Radiation pattern</w:t>
      </w:r>
    </w:p>
    <w:p>
      <w:pPr>
        <w:jc w:val="both"/>
        <w:rPr>
          <w:rFonts w:hint="default"/>
        </w:rPr>
      </w:pPr>
      <w:r>
        <w:rPr>
          <w:rFonts w:hint="default"/>
        </w:rPr>
        <w:t>A radiation pattern is a graphical representation or description of how the antenna radiates electromagnetic energy into space. It illustrates the directional characteristics of the antenna, showing how much power is radiated in different directions relative to the antenna's orientation.</w:t>
      </w:r>
    </w:p>
    <w:p>
      <w:pPr>
        <w:pStyle w:val="33"/>
        <w:numPr>
          <w:ilvl w:val="0"/>
          <w:numId w:val="0"/>
        </w:numPr>
        <w:tabs>
          <w:tab w:val="left" w:pos="2419"/>
        </w:tabs>
        <w:spacing w:before="131" w:line="276" w:lineRule="auto"/>
        <w:ind w:leftChars="0"/>
        <w:jc w:val="both"/>
        <w:rPr>
          <w:rFonts w:hint="default"/>
          <w:lang w:val="en-GB" w:eastAsia="en-IN"/>
        </w:rPr>
      </w:pPr>
      <w:r>
        <w:rPr>
          <w:lang w:eastAsia="en-IN"/>
        </w:rPr>
        <w:drawing>
          <wp:inline distT="0" distB="0" distL="0" distR="0">
            <wp:extent cx="3110865" cy="1950720"/>
            <wp:effectExtent l="0" t="0" r="13335" b="0"/>
            <wp:docPr id="14" name="Picture 14" descr="C:\Users\Administrator\Pictures\Screenshots\Screenshot (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dministrator\Pictures\Screenshots\Screenshot (370).png"/>
                    <pic:cNvPicPr>
                      <a:picLocks noChangeAspect="1" noChangeArrowheads="1"/>
                    </pic:cNvPicPr>
                  </pic:nvPicPr>
                  <pic:blipFill>
                    <a:blip r:embed="rId11">
                      <a:extLst>
                        <a:ext uri="{28A0092B-C50C-407E-A947-70E740481C1C}">
                          <a14:useLocalDpi xmlns:a14="http://schemas.microsoft.com/office/drawing/2010/main" val="0"/>
                        </a:ext>
                      </a:extLst>
                    </a:blip>
                    <a:srcRect l="19140" t="18913" r="979" b="7092"/>
                    <a:stretch>
                      <a:fillRect/>
                    </a:stretch>
                  </pic:blipFill>
                  <pic:spPr>
                    <a:xfrm>
                      <a:off x="0" y="0"/>
                      <a:ext cx="3110865" cy="1950720"/>
                    </a:xfrm>
                    <a:prstGeom prst="rect">
                      <a:avLst/>
                    </a:prstGeom>
                    <a:noFill/>
                    <a:ln>
                      <a:noFill/>
                    </a:ln>
                  </pic:spPr>
                </pic:pic>
              </a:graphicData>
            </a:graphic>
          </wp:inline>
        </w:drawing>
      </w:r>
    </w:p>
    <w:p>
      <w:pPr>
        <w:pStyle w:val="9"/>
      </w:pPr>
    </w:p>
    <w:p>
      <w:pPr>
        <w:pStyle w:val="33"/>
        <w:tabs>
          <w:tab w:val="left" w:pos="2419"/>
        </w:tabs>
        <w:spacing w:before="131" w:line="276" w:lineRule="auto"/>
        <w:ind w:left="0" w:leftChars="0" w:firstLine="0" w:firstLineChars="0"/>
        <w:rPr>
          <w:lang w:eastAsia="en-IN"/>
        </w:rPr>
      </w:pPr>
      <w:r>
        <w:t>Fig 8: 3-D radiation pattern of  the proposed antenna</w:t>
      </w:r>
    </w:p>
    <w:p>
      <w:pPr>
        <w:pStyle w:val="9"/>
        <w:numPr>
          <w:ilvl w:val="0"/>
          <w:numId w:val="0"/>
        </w:numPr>
        <w:ind w:leftChars="0"/>
        <w:rPr>
          <w:rFonts w:hint="default"/>
          <w:lang w:val="en-GB"/>
        </w:rPr>
      </w:pPr>
    </w:p>
    <w:p>
      <w:pPr>
        <w:pStyle w:val="9"/>
        <w:numPr>
          <w:ilvl w:val="0"/>
          <w:numId w:val="8"/>
        </w:numPr>
        <w:ind w:left="0" w:leftChars="0" w:firstLine="0" w:firstLineChars="0"/>
        <w:rPr>
          <w:rFonts w:hint="default"/>
          <w:i/>
          <w:iCs/>
          <w:lang w:val="en-GB"/>
        </w:rPr>
      </w:pPr>
      <w:r>
        <w:rPr>
          <w:rFonts w:hint="default"/>
          <w:i/>
          <w:iCs/>
          <w:lang w:val="en-GB"/>
        </w:rPr>
        <w:t>Field distribution</w:t>
      </w:r>
    </w:p>
    <w:p>
      <w:pPr>
        <w:pStyle w:val="9"/>
        <w:numPr>
          <w:ilvl w:val="0"/>
          <w:numId w:val="0"/>
        </w:numPr>
        <w:ind w:leftChars="0"/>
        <w:rPr>
          <w:rFonts w:hint="default"/>
          <w:lang w:val="en-GB"/>
        </w:rPr>
      </w:pPr>
    </w:p>
    <w:p>
      <w:pPr>
        <w:pStyle w:val="3"/>
        <w:numPr>
          <w:ilvl w:val="1"/>
          <w:numId w:val="0"/>
        </w:numPr>
        <w:ind w:leftChars="0"/>
      </w:pPr>
      <w:r>
        <w:rPr>
          <w:b/>
          <w:bCs/>
          <w:kern w:val="48"/>
          <w:sz w:val="24"/>
          <w:szCs w:val="24"/>
          <w:lang w:val="en-GB"/>
        </w:rPr>
        <w:drawing>
          <wp:inline distT="0" distB="0" distL="0" distR="0">
            <wp:extent cx="3170555" cy="2206625"/>
            <wp:effectExtent l="0" t="0" r="14605" b="3175"/>
            <wp:docPr id="142817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75719"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70555" cy="2206625"/>
                    </a:xfrm>
                    <a:prstGeom prst="rect">
                      <a:avLst/>
                    </a:prstGeom>
                    <a:noFill/>
                  </pic:spPr>
                </pic:pic>
              </a:graphicData>
            </a:graphic>
          </wp:inline>
        </w:drawing>
      </w:r>
    </w:p>
    <w:p>
      <w:pPr>
        <w:pStyle w:val="21"/>
        <w:spacing w:before="100" w:beforeAutospacing="1" w:after="100" w:afterAutospacing="1"/>
        <w:jc w:val="both"/>
        <w:rPr>
          <w:rFonts w:hint="default"/>
          <w:b/>
          <w:bCs/>
          <w:kern w:val="48"/>
          <w:sz w:val="24"/>
          <w:szCs w:val="24"/>
          <w:lang w:val="en-GB"/>
        </w:rPr>
      </w:pPr>
      <w:r>
        <w:rPr>
          <w:rFonts w:hint="default"/>
          <w:b w:val="0"/>
          <w:bCs w:val="0"/>
          <w:kern w:val="48"/>
          <w:sz w:val="24"/>
          <w:szCs w:val="24"/>
          <w:lang w:val="en-GB"/>
        </w:rPr>
        <w:t>F</w:t>
      </w:r>
      <w:r>
        <w:rPr>
          <w:rFonts w:hint="default"/>
          <w:b w:val="0"/>
          <w:bCs w:val="0"/>
          <w:kern w:val="48"/>
          <w:sz w:val="20"/>
          <w:szCs w:val="20"/>
          <w:lang w:val="en-GB"/>
        </w:rPr>
        <w:t>ig 9:Field Distribution of the proposed structure</w:t>
      </w:r>
    </w:p>
    <w:p>
      <w:pPr>
        <w:pStyle w:val="3"/>
        <w:numPr>
          <w:ilvl w:val="0"/>
          <w:numId w:val="9"/>
        </w:numPr>
        <w:ind w:left="425" w:leftChars="0" w:hanging="425" w:firstLineChars="0"/>
        <w:rPr>
          <w:rFonts w:hint="default"/>
          <w:i/>
          <w:iCs/>
          <w:lang w:val="en-GB"/>
        </w:rPr>
      </w:pPr>
      <w:r>
        <w:rPr>
          <w:rFonts w:hint="default"/>
          <w:i/>
          <w:iCs/>
          <w:lang w:val="en-GB"/>
        </w:rPr>
        <w:t>ANTENNA PARAMETER ANALYSIS</w:t>
      </w:r>
    </w:p>
    <w:p>
      <w:pPr>
        <w:tabs>
          <w:tab w:val="left" w:pos="2419"/>
        </w:tabs>
        <w:spacing w:before="131" w:line="276" w:lineRule="auto"/>
        <w:rPr>
          <w:sz w:val="24"/>
        </w:rPr>
      </w:pPr>
    </w:p>
    <w:tbl>
      <w:tblPr>
        <w:tblStyle w:val="34"/>
        <w:tblW w:w="0" w:type="auto"/>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679"/>
        <w:gridCol w:w="240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10" w:type="dxa"/>
          </w:tcPr>
          <w:p>
            <w:pPr>
              <w:tabs>
                <w:tab w:val="left" w:pos="2419"/>
              </w:tabs>
              <w:spacing w:before="131" w:line="276" w:lineRule="auto"/>
              <w:jc w:val="both"/>
              <w:rPr>
                <w:b/>
                <w:bCs/>
                <w:kern w:val="2"/>
                <w:sz w:val="16"/>
                <w:szCs w:val="16"/>
                <w14:ligatures w14:val="standardContextual"/>
              </w:rPr>
            </w:pPr>
            <w:r>
              <w:rPr>
                <w:b/>
                <w:bCs/>
                <w:kern w:val="2"/>
                <w:sz w:val="16"/>
                <w:szCs w:val="16"/>
                <w14:ligatures w14:val="standardContextual"/>
              </w:rPr>
              <w:t>PARAMETERS</w:t>
            </w:r>
          </w:p>
        </w:tc>
        <w:tc>
          <w:tcPr>
            <w:tcW w:w="4510" w:type="dxa"/>
          </w:tcPr>
          <w:p>
            <w:pPr>
              <w:tabs>
                <w:tab w:val="left" w:pos="2419"/>
              </w:tabs>
              <w:spacing w:before="131" w:line="276" w:lineRule="auto"/>
              <w:jc w:val="both"/>
              <w:rPr>
                <w:b/>
                <w:bCs/>
                <w:kern w:val="2"/>
                <w:sz w:val="16"/>
                <w:szCs w:val="16"/>
                <w14:ligatures w14:val="standardContextual"/>
              </w:rPr>
            </w:pPr>
            <w:r>
              <w:rPr>
                <w:b/>
                <w:bCs/>
                <w:kern w:val="2"/>
                <w:sz w:val="16"/>
                <w:szCs w:val="16"/>
                <w14:ligatures w14:val="standardContextual"/>
              </w:rPr>
              <w:t>VALUES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10" w:type="dxa"/>
            <w:shd w:val="clear" w:color="auto" w:fill="F1F1F1" w:themeFill="background1" w:themeFillShade="F2"/>
          </w:tcPr>
          <w:p>
            <w:pPr>
              <w:tabs>
                <w:tab w:val="left" w:pos="2419"/>
              </w:tabs>
              <w:spacing w:before="131" w:line="276" w:lineRule="auto"/>
              <w:jc w:val="both"/>
              <w:rPr>
                <w:b/>
                <w:bCs/>
                <w:kern w:val="2"/>
                <w:sz w:val="16"/>
                <w:szCs w:val="16"/>
                <w14:ligatures w14:val="standardContextual"/>
              </w:rPr>
            </w:pPr>
            <w:r>
              <w:rPr>
                <w:b/>
                <w:bCs/>
                <w:kern w:val="2"/>
                <w:sz w:val="16"/>
                <w:szCs w:val="16"/>
                <w14:ligatures w14:val="standardContextual"/>
              </w:rPr>
              <w:t>U(mW/Sr)</w:t>
            </w:r>
          </w:p>
        </w:tc>
        <w:tc>
          <w:tcPr>
            <w:tcW w:w="4510" w:type="dxa"/>
            <w:shd w:val="clear" w:color="auto" w:fill="F1F1F1" w:themeFill="background1" w:themeFillShade="F2"/>
          </w:tcPr>
          <w:p>
            <w:pPr>
              <w:tabs>
                <w:tab w:val="left" w:pos="2419"/>
              </w:tabs>
              <w:spacing w:before="131" w:line="276" w:lineRule="auto"/>
              <w:jc w:val="both"/>
              <w:rPr>
                <w:kern w:val="2"/>
                <w:sz w:val="16"/>
                <w:szCs w:val="16"/>
                <w14:ligatures w14:val="standardContextual"/>
              </w:rPr>
            </w:pPr>
            <w:r>
              <w:rPr>
                <w:kern w:val="2"/>
                <w:sz w:val="16"/>
                <w:szCs w:val="16"/>
                <w14:ligatures w14:val="standardContextual"/>
              </w:rPr>
              <w:t>26.101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10" w:type="dxa"/>
          </w:tcPr>
          <w:p>
            <w:pPr>
              <w:jc w:val="both"/>
              <w:rPr>
                <w:b/>
                <w:bCs/>
                <w:kern w:val="2"/>
                <w:sz w:val="16"/>
                <w:szCs w:val="16"/>
                <w14:ligatures w14:val="standardContextual"/>
              </w:rPr>
            </w:pPr>
            <w:r>
              <w:rPr>
                <w:b/>
                <w:bCs/>
                <w:kern w:val="2"/>
                <w:sz w:val="16"/>
                <w:szCs w:val="16"/>
                <w14:ligatures w14:val="standardContextual"/>
              </w:rPr>
              <w:t>P</w:t>
            </w:r>
            <w:r>
              <w:rPr>
                <w:b/>
                <w:bCs/>
                <w:kern w:val="2"/>
                <w:sz w:val="16"/>
                <w:szCs w:val="16"/>
                <w:vertAlign w:val="subscript"/>
                <w14:ligatures w14:val="standardContextual"/>
              </w:rPr>
              <w:t>rad</w:t>
            </w:r>
            <w:r>
              <w:rPr>
                <w:b/>
                <w:bCs/>
                <w:kern w:val="2"/>
                <w:sz w:val="16"/>
                <w:szCs w:val="16"/>
                <w14:ligatures w14:val="standardContextual"/>
              </w:rPr>
              <w:t xml:space="preserve"> (mW)</w:t>
            </w:r>
          </w:p>
        </w:tc>
        <w:tc>
          <w:tcPr>
            <w:tcW w:w="4510" w:type="dxa"/>
          </w:tcPr>
          <w:p>
            <w:pPr>
              <w:tabs>
                <w:tab w:val="left" w:pos="2419"/>
              </w:tabs>
              <w:spacing w:before="131" w:line="276" w:lineRule="auto"/>
              <w:jc w:val="both"/>
              <w:rPr>
                <w:kern w:val="2"/>
                <w:sz w:val="16"/>
                <w:szCs w:val="16"/>
                <w14:ligatures w14:val="standardContextual"/>
              </w:rPr>
            </w:pPr>
            <w:r>
              <w:rPr>
                <w:kern w:val="2"/>
                <w:sz w:val="16"/>
                <w:szCs w:val="16"/>
                <w14:ligatures w14:val="standardContextual"/>
              </w:rPr>
              <w:t>69.896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10" w:type="dxa"/>
            <w:shd w:val="clear" w:color="auto" w:fill="F1F1F1" w:themeFill="background1" w:themeFillShade="F2"/>
          </w:tcPr>
          <w:p>
            <w:pPr>
              <w:tabs>
                <w:tab w:val="left" w:pos="2419"/>
              </w:tabs>
              <w:spacing w:before="131" w:line="276" w:lineRule="auto"/>
              <w:jc w:val="both"/>
              <w:rPr>
                <w:b/>
                <w:bCs/>
                <w:kern w:val="2"/>
                <w:sz w:val="16"/>
                <w:szCs w:val="16"/>
                <w14:ligatures w14:val="standardContextual"/>
              </w:rPr>
            </w:pPr>
            <w:r>
              <w:rPr>
                <w:b/>
                <w:bCs/>
                <w:kern w:val="2"/>
                <w:sz w:val="16"/>
                <w:szCs w:val="16"/>
                <w14:ligatures w14:val="standardContextual"/>
              </w:rPr>
              <w:t>D</w:t>
            </w:r>
          </w:p>
        </w:tc>
        <w:tc>
          <w:tcPr>
            <w:tcW w:w="4510" w:type="dxa"/>
            <w:shd w:val="clear" w:color="auto" w:fill="F1F1F1" w:themeFill="background1" w:themeFillShade="F2"/>
          </w:tcPr>
          <w:p>
            <w:pPr>
              <w:tabs>
                <w:tab w:val="left" w:pos="2419"/>
              </w:tabs>
              <w:spacing w:before="131" w:line="276" w:lineRule="auto"/>
              <w:jc w:val="both"/>
              <w:rPr>
                <w:kern w:val="2"/>
                <w:sz w:val="16"/>
                <w:szCs w:val="16"/>
                <w14:ligatures w14:val="standardContextual"/>
              </w:rPr>
            </w:pPr>
            <w:r>
              <w:rPr>
                <w:kern w:val="2"/>
                <w:sz w:val="16"/>
                <w:szCs w:val="16"/>
                <w14:ligatures w14:val="standardContextual"/>
              </w:rPr>
              <w:t>4.6926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10" w:type="dxa"/>
          </w:tcPr>
          <w:p>
            <w:pPr>
              <w:tabs>
                <w:tab w:val="left" w:pos="2419"/>
              </w:tabs>
              <w:spacing w:before="131" w:line="276" w:lineRule="auto"/>
              <w:jc w:val="both"/>
              <w:rPr>
                <w:b/>
                <w:bCs/>
                <w:kern w:val="2"/>
                <w:sz w:val="16"/>
                <w:szCs w:val="16"/>
                <w14:ligatures w14:val="standardContextual"/>
              </w:rPr>
            </w:pPr>
            <w:r>
              <w:rPr>
                <w:b/>
                <w:bCs/>
                <w:kern w:val="2"/>
                <w:sz w:val="16"/>
                <w:szCs w:val="16"/>
                <w14:ligatures w14:val="standardContextual"/>
              </w:rPr>
              <w:t>G</w:t>
            </w:r>
          </w:p>
        </w:tc>
        <w:tc>
          <w:tcPr>
            <w:tcW w:w="4510" w:type="dxa"/>
          </w:tcPr>
          <w:p>
            <w:pPr>
              <w:tabs>
                <w:tab w:val="left" w:pos="2419"/>
              </w:tabs>
              <w:spacing w:before="131" w:line="276" w:lineRule="auto"/>
              <w:jc w:val="both"/>
              <w:rPr>
                <w:kern w:val="2"/>
                <w:sz w:val="16"/>
                <w:szCs w:val="16"/>
                <w14:ligatures w14:val="standardContextual"/>
              </w:rPr>
            </w:pPr>
            <w:r>
              <w:rPr>
                <w:kern w:val="2"/>
                <w:sz w:val="16"/>
                <w:szCs w:val="16"/>
                <w14:ligatures w14:val="standardContextual"/>
              </w:rPr>
              <w:t>2.153</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10" w:type="dxa"/>
            <w:shd w:val="clear" w:color="auto" w:fill="F1F1F1" w:themeFill="background1" w:themeFillShade="F2"/>
          </w:tcPr>
          <w:p>
            <w:pPr>
              <w:tabs>
                <w:tab w:val="left" w:pos="2419"/>
              </w:tabs>
              <w:spacing w:before="131" w:line="276" w:lineRule="auto"/>
              <w:jc w:val="both"/>
              <w:rPr>
                <w:b/>
                <w:bCs/>
                <w:kern w:val="2"/>
                <w:sz w:val="16"/>
                <w:szCs w:val="16"/>
                <w14:ligatures w14:val="standardContextual"/>
              </w:rPr>
            </w:pPr>
            <w:r>
              <w:rPr>
                <w:b/>
                <w:bCs/>
                <w:kern w:val="2"/>
                <w:sz w:val="16"/>
                <w:szCs w:val="16"/>
                <w14:ligatures w14:val="standardContextual"/>
              </w:rPr>
              <w:t>Efficiency</w:t>
            </w:r>
          </w:p>
        </w:tc>
        <w:tc>
          <w:tcPr>
            <w:tcW w:w="4510" w:type="dxa"/>
            <w:shd w:val="clear" w:color="auto" w:fill="F1F1F1" w:themeFill="background1" w:themeFillShade="F2"/>
          </w:tcPr>
          <w:p>
            <w:pPr>
              <w:tabs>
                <w:tab w:val="left" w:pos="2419"/>
              </w:tabs>
              <w:spacing w:before="131" w:line="276" w:lineRule="auto"/>
              <w:jc w:val="both"/>
              <w:rPr>
                <w:kern w:val="2"/>
                <w:sz w:val="16"/>
                <w:szCs w:val="16"/>
                <w14:ligatures w14:val="standardContextual"/>
              </w:rPr>
            </w:pPr>
            <w:r>
              <w:rPr>
                <w:kern w:val="2"/>
                <w:sz w:val="16"/>
                <w:szCs w:val="16"/>
                <w14:ligatures w14:val="standardContextual"/>
              </w:rPr>
              <w:t>0.45881</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4510" w:type="dxa"/>
          </w:tcPr>
          <w:p>
            <w:pPr>
              <w:tabs>
                <w:tab w:val="left" w:pos="2419"/>
              </w:tabs>
              <w:spacing w:before="131" w:line="276" w:lineRule="auto"/>
              <w:jc w:val="both"/>
              <w:rPr>
                <w:b/>
                <w:bCs/>
                <w:kern w:val="2"/>
                <w:sz w:val="16"/>
                <w:szCs w:val="16"/>
                <w14:ligatures w14:val="standardContextual"/>
              </w:rPr>
            </w:pPr>
            <w:r>
              <w:rPr>
                <w:b/>
                <w:bCs/>
                <w:kern w:val="2"/>
                <w:sz w:val="16"/>
                <w:szCs w:val="16"/>
                <w14:ligatures w14:val="standardContextual"/>
              </w:rPr>
              <w:t>Front to Back ratio</w:t>
            </w:r>
          </w:p>
        </w:tc>
        <w:tc>
          <w:tcPr>
            <w:tcW w:w="4510" w:type="dxa"/>
          </w:tcPr>
          <w:p>
            <w:pPr>
              <w:tabs>
                <w:tab w:val="left" w:pos="2419"/>
              </w:tabs>
              <w:spacing w:before="131" w:line="276" w:lineRule="auto"/>
              <w:jc w:val="both"/>
              <w:rPr>
                <w:kern w:val="2"/>
                <w:sz w:val="16"/>
                <w:szCs w:val="16"/>
                <w14:ligatures w14:val="standardContextual"/>
              </w:rPr>
            </w:pPr>
            <w:r>
              <w:rPr>
                <w:kern w:val="2"/>
                <w:sz w:val="16"/>
                <w:szCs w:val="16"/>
                <w14:ligatures w14:val="standardContextual"/>
              </w:rPr>
              <w:t>32.617</w:t>
            </w:r>
          </w:p>
        </w:tc>
      </w:tr>
    </w:tbl>
    <w:p>
      <w:pPr>
        <w:jc w:val="both"/>
        <w:rPr>
          <w:rFonts w:hint="default"/>
          <w:i w:val="0"/>
          <w:iCs w:val="0"/>
          <w:sz w:val="16"/>
          <w:szCs w:val="16"/>
          <w:lang w:val="en-GB"/>
        </w:rPr>
      </w:pPr>
    </w:p>
    <w:p>
      <w:pPr>
        <w:jc w:val="both"/>
        <w:rPr>
          <w:rFonts w:hint="default"/>
          <w:i w:val="0"/>
          <w:iCs w:val="0"/>
          <w:sz w:val="16"/>
          <w:szCs w:val="16"/>
          <w:lang w:val="en-GB"/>
        </w:rPr>
      </w:pPr>
    </w:p>
    <w:p>
      <w:pPr>
        <w:jc w:val="both"/>
        <w:rPr>
          <w:rFonts w:hint="default"/>
          <w:i w:val="0"/>
          <w:iCs w:val="0"/>
          <w:sz w:val="16"/>
          <w:szCs w:val="16"/>
          <w:lang w:val="en-GB"/>
        </w:rPr>
      </w:pPr>
    </w:p>
    <w:p>
      <w:pPr>
        <w:numPr>
          <w:ilvl w:val="0"/>
          <w:numId w:val="0"/>
        </w:numPr>
        <w:jc w:val="both"/>
        <w:rPr>
          <w:rFonts w:hint="default"/>
          <w:i w:val="0"/>
          <w:iCs w:val="0"/>
          <w:lang w:val="en-GB"/>
        </w:rPr>
      </w:pPr>
    </w:p>
    <w:p>
      <w:pPr>
        <w:numPr>
          <w:ilvl w:val="0"/>
          <w:numId w:val="0"/>
        </w:numPr>
        <w:jc w:val="both"/>
        <w:rPr>
          <w:rFonts w:hint="default"/>
          <w:i w:val="0"/>
          <w:iCs w:val="0"/>
          <w:lang w:val="en-GB"/>
        </w:rPr>
      </w:pPr>
    </w:p>
    <w:p>
      <w:pPr>
        <w:numPr>
          <w:ilvl w:val="0"/>
          <w:numId w:val="0"/>
        </w:numPr>
        <w:jc w:val="both"/>
        <w:rPr>
          <w:rFonts w:hint="default"/>
          <w:i w:val="0"/>
          <w:iCs w:val="0"/>
          <w:lang w:val="en-GB"/>
        </w:rPr>
      </w:pPr>
    </w:p>
    <w:p>
      <w:pPr>
        <w:numPr>
          <w:ilvl w:val="0"/>
          <w:numId w:val="0"/>
        </w:numPr>
        <w:ind w:firstLineChars="0"/>
        <w:jc w:val="both"/>
        <w:rPr>
          <w:rFonts w:hint="default"/>
          <w:i w:val="0"/>
          <w:iCs w:val="0"/>
          <w:lang w:val="en-GB"/>
        </w:rPr>
      </w:pPr>
    </w:p>
    <w:p>
      <w:pPr>
        <w:numPr>
          <w:ilvl w:val="0"/>
          <w:numId w:val="10"/>
        </w:numPr>
        <w:ind w:left="425" w:leftChars="0" w:hanging="425" w:firstLineChars="0"/>
        <w:jc w:val="both"/>
        <w:rPr>
          <w:rFonts w:hint="default"/>
          <w:i/>
          <w:iCs/>
          <w:lang w:val="en-GB"/>
        </w:rPr>
      </w:pPr>
      <w:r>
        <w:rPr>
          <w:rFonts w:hint="default"/>
          <w:i/>
          <w:iCs/>
          <w:lang w:val="en-GB"/>
        </w:rPr>
        <w:t>COMPARISON</w:t>
      </w:r>
    </w:p>
    <w:p>
      <w:pPr>
        <w:jc w:val="both"/>
        <w:rPr>
          <w:rFonts w:hint="default"/>
          <w:i w:val="0"/>
          <w:iCs w:val="0"/>
          <w:lang w:val="en-GB"/>
        </w:rPr>
      </w:pPr>
    </w:p>
    <w:tbl>
      <w:tblPr>
        <w:tblStyle w:val="35"/>
        <w:tblpPr w:leftFromText="180" w:rightFromText="180" w:vertAnchor="page" w:horzAnchor="page" w:tblpX="867" w:tblpY="1656"/>
        <w:tblW w:w="0" w:type="auto"/>
        <w:tblInd w:w="0" w:type="dxa"/>
        <w:tblBorders>
          <w:top w:val="none" w:color="auto" w:sz="0" w:space="0"/>
          <w:left w:val="none" w:color="auto" w:sz="0" w:space="0"/>
          <w:bottom w:val="none" w:color="auto" w:sz="0" w:space="0"/>
          <w:right w:val="none" w:color="auto" w:sz="0"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18"/>
        <w:gridCol w:w="877"/>
        <w:gridCol w:w="737"/>
        <w:gridCol w:w="698"/>
        <w:gridCol w:w="987"/>
      </w:tblGrid>
      <w:tr>
        <w:tblPrEx>
          <w:tblBorders>
            <w:top w:val="none" w:color="auto" w:sz="0" w:space="0"/>
            <w:left w:val="none" w:color="auto" w:sz="0" w:space="0"/>
            <w:bottom w:val="none" w:color="auto" w:sz="0" w:space="0"/>
            <w:right w:val="none" w:color="auto" w:sz="0"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36" w:hRule="atLeast"/>
        </w:trPr>
        <w:tc>
          <w:tcPr>
            <w:tcW w:w="1518" w:type="dxa"/>
            <w:vAlign w:val="top"/>
          </w:tcPr>
          <w:p>
            <w:pPr>
              <w:widowControl/>
              <w:shd w:val="clear" w:color="auto" w:fill="FFFFFF"/>
              <w:autoSpaceDE/>
              <w:autoSpaceDN/>
              <w:spacing w:before="105" w:after="100" w:afterAutospacing="1"/>
              <w:jc w:val="both"/>
              <w:outlineLvl w:val="1"/>
              <w:rPr>
                <w:b/>
                <w:bCs/>
                <w:color w:val="222222"/>
                <w:sz w:val="16"/>
                <w:szCs w:val="16"/>
                <w:lang w:val="en-IN" w:eastAsia="en-IN"/>
              </w:rPr>
            </w:pPr>
            <w:r>
              <w:rPr>
                <w:b/>
                <w:bCs/>
                <w:color w:val="222222"/>
                <w:sz w:val="16"/>
                <w:szCs w:val="16"/>
                <w:lang w:val="en-IN" w:eastAsia="en-IN"/>
              </w:rPr>
              <w:t>Antenna literature</w:t>
            </w:r>
          </w:p>
        </w:tc>
        <w:tc>
          <w:tcPr>
            <w:tcW w:w="877" w:type="dxa"/>
            <w:vAlign w:val="top"/>
          </w:tcPr>
          <w:p>
            <w:pPr>
              <w:widowControl/>
              <w:shd w:val="clear" w:color="auto" w:fill="FFFFFF"/>
              <w:autoSpaceDE/>
              <w:autoSpaceDN/>
              <w:spacing w:before="105" w:after="100" w:afterAutospacing="1"/>
              <w:jc w:val="both"/>
              <w:outlineLvl w:val="1"/>
              <w:rPr>
                <w:b/>
                <w:bCs/>
                <w:color w:val="222222"/>
                <w:sz w:val="16"/>
                <w:szCs w:val="16"/>
                <w:lang w:val="en-IN" w:eastAsia="en-IN"/>
              </w:rPr>
            </w:pPr>
            <w:r>
              <w:rPr>
                <w:b/>
                <w:bCs/>
                <w:color w:val="222222"/>
                <w:sz w:val="16"/>
                <w:szCs w:val="16"/>
                <w:lang w:val="en-IN" w:eastAsia="en-IN"/>
              </w:rPr>
              <w:t>Fr</w:t>
            </w:r>
          </w:p>
        </w:tc>
        <w:tc>
          <w:tcPr>
            <w:tcW w:w="737" w:type="dxa"/>
            <w:vAlign w:val="top"/>
          </w:tcPr>
          <w:p>
            <w:pPr>
              <w:widowControl/>
              <w:shd w:val="clear" w:color="auto" w:fill="FFFFFF"/>
              <w:autoSpaceDE/>
              <w:autoSpaceDN/>
              <w:spacing w:before="105" w:after="100" w:afterAutospacing="1"/>
              <w:jc w:val="both"/>
              <w:outlineLvl w:val="1"/>
              <w:rPr>
                <w:b/>
                <w:bCs/>
                <w:color w:val="222222"/>
                <w:sz w:val="16"/>
                <w:szCs w:val="16"/>
                <w:lang w:val="en-IN" w:eastAsia="en-IN"/>
              </w:rPr>
            </w:pPr>
            <w:r>
              <w:rPr>
                <w:b/>
                <w:bCs/>
                <w:color w:val="222222"/>
                <w:sz w:val="16"/>
                <w:szCs w:val="16"/>
                <w:lang w:val="en-IN" w:eastAsia="en-IN"/>
              </w:rPr>
              <w:t>S11</w:t>
            </w:r>
          </w:p>
        </w:tc>
        <w:tc>
          <w:tcPr>
            <w:tcW w:w="698" w:type="dxa"/>
            <w:vAlign w:val="top"/>
          </w:tcPr>
          <w:p>
            <w:pPr>
              <w:widowControl/>
              <w:shd w:val="clear" w:color="auto" w:fill="FFFFFF"/>
              <w:autoSpaceDE/>
              <w:autoSpaceDN/>
              <w:spacing w:before="105" w:after="100" w:afterAutospacing="1"/>
              <w:jc w:val="both"/>
              <w:outlineLvl w:val="1"/>
              <w:rPr>
                <w:rFonts w:hint="default"/>
                <w:b/>
                <w:bCs/>
                <w:color w:val="222222"/>
                <w:sz w:val="16"/>
                <w:szCs w:val="16"/>
                <w:lang w:val="en-GB" w:eastAsia="en-IN"/>
              </w:rPr>
            </w:pPr>
            <w:r>
              <w:rPr>
                <w:rFonts w:hint="default"/>
                <w:b/>
                <w:bCs/>
                <w:color w:val="222222"/>
                <w:sz w:val="16"/>
                <w:szCs w:val="16"/>
                <w:lang w:val="en-GB" w:eastAsia="en-IN"/>
              </w:rPr>
              <w:t>D</w:t>
            </w:r>
          </w:p>
        </w:tc>
        <w:tc>
          <w:tcPr>
            <w:tcW w:w="987" w:type="dxa"/>
            <w:vAlign w:val="top"/>
          </w:tcPr>
          <w:p>
            <w:pPr>
              <w:widowControl/>
              <w:shd w:val="clear" w:color="auto" w:fill="FFFFFF"/>
              <w:autoSpaceDE/>
              <w:autoSpaceDN/>
              <w:spacing w:before="105" w:after="100" w:afterAutospacing="1"/>
              <w:jc w:val="both"/>
              <w:outlineLvl w:val="1"/>
              <w:rPr>
                <w:b/>
                <w:bCs/>
                <w:color w:val="222222"/>
                <w:sz w:val="16"/>
                <w:szCs w:val="16"/>
                <w:lang w:val="en-IN" w:eastAsia="en-IN"/>
              </w:rPr>
            </w:pPr>
            <w:r>
              <w:rPr>
                <w:b/>
                <w:bCs/>
                <w:color w:val="222222"/>
                <w:sz w:val="16"/>
                <w:szCs w:val="16"/>
                <w:lang w:val="en-IN" w:eastAsia="en-IN"/>
              </w:rPr>
              <w:t>Efficien</w:t>
            </w:r>
            <w:r>
              <w:rPr>
                <w:rFonts w:hint="default"/>
                <w:b/>
                <w:bCs/>
                <w:color w:val="222222"/>
                <w:sz w:val="16"/>
                <w:szCs w:val="16"/>
                <w:lang w:val="en-GB" w:eastAsia="en-IN"/>
              </w:rPr>
              <w:t>c</w:t>
            </w:r>
            <w:r>
              <w:rPr>
                <w:b/>
                <w:bCs/>
                <w:color w:val="222222"/>
                <w:sz w:val="16"/>
                <w:szCs w:val="16"/>
                <w:lang w:val="en-IN" w:eastAsia="en-IN"/>
              </w:rPr>
              <w:t>y</w:t>
            </w:r>
          </w:p>
        </w:tc>
      </w:tr>
      <w:tr>
        <w:tblPrEx>
          <w:tblBorders>
            <w:top w:val="none" w:color="auto" w:sz="0" w:space="0"/>
            <w:left w:val="none" w:color="auto" w:sz="0" w:space="0"/>
            <w:bottom w:val="none" w:color="auto" w:sz="0" w:space="0"/>
            <w:right w:val="none" w:color="auto" w:sz="0"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81" w:hRule="atLeast"/>
        </w:trPr>
        <w:tc>
          <w:tcPr>
            <w:tcW w:w="1518" w:type="dxa"/>
            <w:vAlign w:val="top"/>
          </w:tcPr>
          <w:p>
            <w:pPr>
              <w:widowControl/>
              <w:numPr>
                <w:ilvl w:val="0"/>
                <w:numId w:val="0"/>
              </w:numPr>
              <w:shd w:val="clear" w:color="auto" w:fill="FFFFFF"/>
              <w:autoSpaceDE/>
              <w:autoSpaceDN/>
              <w:spacing w:before="105" w:after="100" w:afterAutospacing="1"/>
              <w:jc w:val="both"/>
              <w:outlineLvl w:val="1"/>
              <w:rPr>
                <w:rFonts w:hint="default"/>
                <w:sz w:val="16"/>
                <w:szCs w:val="16"/>
                <w:lang w:val="en-GB" w:eastAsia="en-IN"/>
              </w:rPr>
            </w:pPr>
            <w:r>
              <w:rPr>
                <w:sz w:val="16"/>
                <w:szCs w:val="16"/>
              </w:rPr>
              <w:t>Diptiranjan  et al</w:t>
            </w:r>
            <w:r>
              <w:rPr>
                <w:rFonts w:hint="default"/>
                <w:sz w:val="16"/>
                <w:szCs w:val="16"/>
                <w:lang w:val="en-GB"/>
              </w:rPr>
              <w:t>. [1]</w:t>
            </w:r>
          </w:p>
        </w:tc>
        <w:tc>
          <w:tcPr>
            <w:tcW w:w="87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eastAsia="en-IN"/>
              </w:rPr>
              <w:t>10.44GHz</w:t>
            </w:r>
          </w:p>
        </w:tc>
        <w:tc>
          <w:tcPr>
            <w:tcW w:w="73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val="en-IN" w:eastAsia="en-IN"/>
              </w:rPr>
              <w:t>-26dB</w:t>
            </w:r>
          </w:p>
        </w:tc>
        <w:tc>
          <w:tcPr>
            <w:tcW w:w="698"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eastAsia="en-IN"/>
              </w:rPr>
              <w:t>7.57dB</w:t>
            </w:r>
          </w:p>
        </w:tc>
        <w:tc>
          <w:tcPr>
            <w:tcW w:w="98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eastAsia="en-IN"/>
              </w:rPr>
              <w:t>87.66%</w:t>
            </w:r>
          </w:p>
        </w:tc>
      </w:tr>
      <w:tr>
        <w:tblPrEx>
          <w:tblBorders>
            <w:top w:val="none" w:color="auto" w:sz="0" w:space="0"/>
            <w:left w:val="none" w:color="auto" w:sz="0" w:space="0"/>
            <w:bottom w:val="none" w:color="auto" w:sz="0" w:space="0"/>
            <w:right w:val="none" w:color="auto" w:sz="0"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71" w:hRule="atLeast"/>
        </w:trPr>
        <w:tc>
          <w:tcPr>
            <w:tcW w:w="1518" w:type="dxa"/>
            <w:vAlign w:val="top"/>
          </w:tcPr>
          <w:p>
            <w:pPr>
              <w:widowControl/>
              <w:shd w:val="clear" w:color="auto" w:fill="FFFFFF"/>
              <w:autoSpaceDE/>
              <w:autoSpaceDN/>
              <w:spacing w:before="105" w:after="100" w:afterAutospacing="1"/>
              <w:jc w:val="both"/>
              <w:outlineLvl w:val="1"/>
              <w:rPr>
                <w:rFonts w:hint="default"/>
                <w:b/>
                <w:bCs/>
                <w:color w:val="222222"/>
                <w:sz w:val="16"/>
                <w:szCs w:val="16"/>
                <w:lang w:val="en-GB" w:eastAsia="en-IN"/>
              </w:rPr>
            </w:pPr>
            <w:r>
              <w:rPr>
                <w:sz w:val="16"/>
                <w:szCs w:val="16"/>
                <w:lang w:val="en-IN"/>
              </w:rPr>
              <w:t>F. H. Lin  et al</w:t>
            </w:r>
            <w:r>
              <w:rPr>
                <w:rFonts w:hint="default"/>
                <w:sz w:val="16"/>
                <w:szCs w:val="16"/>
                <w:lang w:val="en-GB"/>
              </w:rPr>
              <w:t>. [2]</w:t>
            </w:r>
          </w:p>
        </w:tc>
        <w:tc>
          <w:tcPr>
            <w:tcW w:w="877" w:type="dxa"/>
            <w:vAlign w:val="top"/>
          </w:tcPr>
          <w:p>
            <w:pPr>
              <w:widowControl/>
              <w:shd w:val="clear" w:color="auto" w:fill="FFFFFF"/>
              <w:autoSpaceDE/>
              <w:autoSpaceDN/>
              <w:spacing w:before="105" w:after="100" w:afterAutospacing="1"/>
              <w:jc w:val="both"/>
              <w:outlineLvl w:val="1"/>
              <w:rPr>
                <w:rFonts w:hint="default"/>
                <w:color w:val="222222"/>
                <w:sz w:val="16"/>
                <w:szCs w:val="16"/>
                <w:lang w:val="en-GB" w:eastAsia="en-IN"/>
              </w:rPr>
            </w:pPr>
            <w:r>
              <w:rPr>
                <w:color w:val="222222"/>
                <w:sz w:val="16"/>
                <w:szCs w:val="16"/>
                <w:lang w:val="en-IN" w:eastAsia="en-IN"/>
              </w:rPr>
              <w:t>14.2GH</w:t>
            </w:r>
            <w:r>
              <w:rPr>
                <w:rFonts w:hint="default"/>
                <w:color w:val="222222"/>
                <w:sz w:val="16"/>
                <w:szCs w:val="16"/>
                <w:lang w:val="en-GB" w:eastAsia="en-IN"/>
              </w:rPr>
              <w:t>z</w:t>
            </w:r>
          </w:p>
        </w:tc>
        <w:tc>
          <w:tcPr>
            <w:tcW w:w="73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val="en-IN" w:eastAsia="en-IN"/>
              </w:rPr>
              <w:t>17.3dB</w:t>
            </w:r>
          </w:p>
        </w:tc>
        <w:tc>
          <w:tcPr>
            <w:tcW w:w="698"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val="en-IN" w:eastAsia="en-IN"/>
              </w:rPr>
              <w:t>7.6dB</w:t>
            </w:r>
          </w:p>
        </w:tc>
        <w:tc>
          <w:tcPr>
            <w:tcW w:w="98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val="en-IN" w:eastAsia="en-IN"/>
              </w:rPr>
              <w:t>70.8%</w:t>
            </w:r>
          </w:p>
        </w:tc>
      </w:tr>
      <w:tr>
        <w:tblPrEx>
          <w:tblBorders>
            <w:top w:val="none" w:color="auto" w:sz="0" w:space="0"/>
            <w:left w:val="none" w:color="auto" w:sz="0" w:space="0"/>
            <w:bottom w:val="none" w:color="auto" w:sz="0" w:space="0"/>
            <w:right w:val="none" w:color="auto" w:sz="0"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3" w:hRule="atLeast"/>
        </w:trPr>
        <w:tc>
          <w:tcPr>
            <w:tcW w:w="1518" w:type="dxa"/>
            <w:vAlign w:val="top"/>
          </w:tcPr>
          <w:p>
            <w:pPr>
              <w:widowControl/>
              <w:shd w:val="clear" w:color="auto" w:fill="FFFFFF"/>
              <w:autoSpaceDE/>
              <w:autoSpaceDN/>
              <w:spacing w:before="105" w:after="100" w:afterAutospacing="1"/>
              <w:jc w:val="both"/>
              <w:outlineLvl w:val="1"/>
              <w:rPr>
                <w:rFonts w:hint="default"/>
                <w:b/>
                <w:bCs/>
                <w:color w:val="222222"/>
                <w:sz w:val="16"/>
                <w:szCs w:val="16"/>
                <w:lang w:val="en-GB" w:eastAsia="en-IN"/>
              </w:rPr>
            </w:pPr>
            <w:r>
              <w:rPr>
                <w:sz w:val="16"/>
                <w:szCs w:val="16"/>
              </w:rPr>
              <w:t>T.Sleasman et al</w:t>
            </w:r>
            <w:r>
              <w:rPr>
                <w:rFonts w:hint="default"/>
                <w:sz w:val="16"/>
                <w:szCs w:val="16"/>
                <w:lang w:val="en-GB"/>
              </w:rPr>
              <w:t>.[3]</w:t>
            </w:r>
          </w:p>
        </w:tc>
        <w:tc>
          <w:tcPr>
            <w:tcW w:w="87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eastAsia="en-IN"/>
              </w:rPr>
              <w:t>10.44GHz</w:t>
            </w:r>
          </w:p>
        </w:tc>
        <w:tc>
          <w:tcPr>
            <w:tcW w:w="73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val="en-IN" w:eastAsia="en-IN"/>
              </w:rPr>
              <w:t>-26dB</w:t>
            </w:r>
          </w:p>
        </w:tc>
        <w:tc>
          <w:tcPr>
            <w:tcW w:w="698"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eastAsia="en-IN"/>
              </w:rPr>
              <w:t>7.57dB</w:t>
            </w:r>
          </w:p>
        </w:tc>
        <w:tc>
          <w:tcPr>
            <w:tcW w:w="98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eastAsia="en-IN"/>
              </w:rPr>
              <w:t>87.66%</w:t>
            </w:r>
          </w:p>
        </w:tc>
      </w:tr>
      <w:tr>
        <w:tblPrEx>
          <w:tblBorders>
            <w:top w:val="none" w:color="auto" w:sz="0" w:space="0"/>
            <w:left w:val="none" w:color="auto" w:sz="0" w:space="0"/>
            <w:bottom w:val="none" w:color="auto" w:sz="0" w:space="0"/>
            <w:right w:val="none" w:color="auto" w:sz="0"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60" w:hRule="atLeast"/>
        </w:trPr>
        <w:tc>
          <w:tcPr>
            <w:tcW w:w="1518" w:type="dxa"/>
            <w:vAlign w:val="top"/>
          </w:tcPr>
          <w:p>
            <w:pPr>
              <w:widowControl/>
              <w:shd w:val="clear" w:color="auto" w:fill="FFFFFF"/>
              <w:autoSpaceDE/>
              <w:autoSpaceDN/>
              <w:spacing w:before="105" w:after="100" w:afterAutospacing="1"/>
              <w:jc w:val="both"/>
              <w:outlineLvl w:val="1"/>
              <w:rPr>
                <w:rFonts w:hint="default"/>
                <w:sz w:val="16"/>
                <w:szCs w:val="16"/>
                <w:lang w:val="en-GB"/>
              </w:rPr>
            </w:pPr>
            <w:r>
              <w:rPr>
                <w:sz w:val="16"/>
                <w:szCs w:val="16"/>
              </w:rPr>
              <w:t>Zheng et al</w:t>
            </w:r>
            <w:r>
              <w:rPr>
                <w:rFonts w:hint="default"/>
                <w:sz w:val="16"/>
                <w:szCs w:val="16"/>
                <w:lang w:val="en-GB"/>
              </w:rPr>
              <w:t>.,[4]</w:t>
            </w:r>
          </w:p>
        </w:tc>
        <w:tc>
          <w:tcPr>
            <w:tcW w:w="87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val="en-IN" w:eastAsia="en-IN"/>
              </w:rPr>
              <w:t>17.5GHz</w:t>
            </w:r>
          </w:p>
          <w:p>
            <w:pPr>
              <w:widowControl/>
              <w:shd w:val="clear" w:color="auto" w:fill="FFFFFF"/>
              <w:autoSpaceDE/>
              <w:autoSpaceDN/>
              <w:spacing w:before="105" w:after="100" w:afterAutospacing="1"/>
              <w:jc w:val="both"/>
              <w:outlineLvl w:val="1"/>
              <w:rPr>
                <w:color w:val="222222"/>
                <w:sz w:val="16"/>
                <w:szCs w:val="16"/>
                <w:lang w:eastAsia="en-IN"/>
              </w:rPr>
            </w:pPr>
          </w:p>
        </w:tc>
        <w:tc>
          <w:tcPr>
            <w:tcW w:w="737" w:type="dxa"/>
            <w:vAlign w:val="top"/>
          </w:tcPr>
          <w:p>
            <w:pPr>
              <w:shd w:val="clear" w:color="auto" w:fill="FFFFFF"/>
              <w:spacing w:before="105" w:after="100" w:afterAutospacing="1"/>
              <w:jc w:val="both"/>
              <w:outlineLvl w:val="1"/>
              <w:rPr>
                <w:color w:val="222222"/>
                <w:sz w:val="16"/>
                <w:szCs w:val="16"/>
              </w:rPr>
            </w:pPr>
            <w:r>
              <w:rPr>
                <w:color w:val="222222"/>
                <w:sz w:val="16"/>
                <w:szCs w:val="16"/>
              </w:rPr>
              <w:t>9dB</w:t>
            </w:r>
          </w:p>
          <w:p>
            <w:pPr>
              <w:widowControl/>
              <w:shd w:val="clear" w:color="auto" w:fill="FFFFFF"/>
              <w:autoSpaceDE/>
              <w:autoSpaceDN/>
              <w:spacing w:before="105" w:after="100" w:afterAutospacing="1"/>
              <w:jc w:val="both"/>
              <w:outlineLvl w:val="1"/>
              <w:rPr>
                <w:color w:val="222222"/>
                <w:sz w:val="16"/>
                <w:szCs w:val="16"/>
                <w:lang w:val="en-IN" w:eastAsia="en-IN"/>
              </w:rPr>
            </w:pPr>
          </w:p>
        </w:tc>
        <w:tc>
          <w:tcPr>
            <w:tcW w:w="698"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eastAsia="en-IN"/>
              </w:rPr>
              <w:t>6.57dB</w:t>
            </w:r>
          </w:p>
          <w:p>
            <w:pPr>
              <w:widowControl/>
              <w:shd w:val="clear" w:color="auto" w:fill="FFFFFF"/>
              <w:autoSpaceDE/>
              <w:autoSpaceDN/>
              <w:spacing w:before="105" w:after="100" w:afterAutospacing="1"/>
              <w:jc w:val="both"/>
              <w:outlineLvl w:val="1"/>
              <w:rPr>
                <w:color w:val="222222"/>
                <w:sz w:val="16"/>
                <w:szCs w:val="16"/>
                <w:lang w:eastAsia="en-IN"/>
              </w:rPr>
            </w:pPr>
          </w:p>
        </w:tc>
        <w:tc>
          <w:tcPr>
            <w:tcW w:w="987" w:type="dxa"/>
            <w:vAlign w:val="top"/>
          </w:tcPr>
          <w:p>
            <w:pPr>
              <w:widowControl/>
              <w:shd w:val="clear" w:color="auto" w:fill="FFFFFF"/>
              <w:autoSpaceDE/>
              <w:autoSpaceDN/>
              <w:spacing w:before="105" w:after="100" w:afterAutospacing="1"/>
              <w:jc w:val="both"/>
              <w:outlineLvl w:val="1"/>
              <w:rPr>
                <w:color w:val="222222"/>
                <w:sz w:val="16"/>
                <w:szCs w:val="16"/>
                <w:lang w:val="en-IN" w:eastAsia="en-IN"/>
              </w:rPr>
            </w:pPr>
            <w:r>
              <w:rPr>
                <w:color w:val="222222"/>
                <w:sz w:val="16"/>
                <w:szCs w:val="16"/>
                <w:lang w:val="en-IN" w:eastAsia="en-IN"/>
              </w:rPr>
              <w:t>81.7%</w:t>
            </w:r>
          </w:p>
          <w:p>
            <w:pPr>
              <w:widowControl/>
              <w:shd w:val="clear" w:color="auto" w:fill="FFFFFF"/>
              <w:autoSpaceDE/>
              <w:autoSpaceDN/>
              <w:spacing w:before="105" w:after="100" w:afterAutospacing="1"/>
              <w:jc w:val="both"/>
              <w:outlineLvl w:val="1"/>
              <w:rPr>
                <w:color w:val="222222"/>
                <w:sz w:val="16"/>
                <w:szCs w:val="16"/>
                <w:lang w:eastAsia="en-IN"/>
              </w:rPr>
            </w:pPr>
          </w:p>
        </w:tc>
      </w:tr>
      <w:tr>
        <w:tblPrEx>
          <w:tblBorders>
            <w:top w:val="none" w:color="auto" w:sz="0" w:space="0"/>
            <w:left w:val="none" w:color="auto" w:sz="0" w:space="0"/>
            <w:bottom w:val="none" w:color="auto" w:sz="0" w:space="0"/>
            <w:right w:val="none" w:color="auto" w:sz="0"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1" w:hRule="atLeast"/>
        </w:trPr>
        <w:tc>
          <w:tcPr>
            <w:tcW w:w="1518" w:type="dxa"/>
            <w:vAlign w:val="top"/>
          </w:tcPr>
          <w:p>
            <w:pPr>
              <w:widowControl/>
              <w:shd w:val="clear" w:color="auto" w:fill="FFFFFF"/>
              <w:autoSpaceDE/>
              <w:autoSpaceDN/>
              <w:spacing w:before="105" w:after="100" w:afterAutospacing="1"/>
              <w:jc w:val="both"/>
              <w:outlineLvl w:val="1"/>
              <w:rPr>
                <w:rFonts w:hint="default"/>
                <w:sz w:val="16"/>
                <w:szCs w:val="16"/>
                <w:lang w:val="en-GB"/>
              </w:rPr>
            </w:pPr>
            <w:r>
              <w:rPr>
                <w:rFonts w:hint="default"/>
                <w:sz w:val="16"/>
                <w:szCs w:val="16"/>
                <w:lang w:val="en-GB"/>
              </w:rPr>
              <w:t>Proposed</w:t>
            </w:r>
          </w:p>
        </w:tc>
        <w:tc>
          <w:tcPr>
            <w:tcW w:w="877" w:type="dxa"/>
            <w:vAlign w:val="top"/>
          </w:tcPr>
          <w:p>
            <w:pPr>
              <w:widowControl/>
              <w:shd w:val="clear" w:color="auto" w:fill="FFFFFF"/>
              <w:autoSpaceDE/>
              <w:autoSpaceDN/>
              <w:spacing w:before="105" w:after="100" w:afterAutospacing="1"/>
              <w:jc w:val="both"/>
              <w:outlineLvl w:val="1"/>
              <w:rPr>
                <w:rFonts w:hint="default"/>
                <w:color w:val="222222"/>
                <w:sz w:val="16"/>
                <w:szCs w:val="16"/>
                <w:lang w:val="en-GB" w:eastAsia="en-IN"/>
              </w:rPr>
            </w:pPr>
            <w:r>
              <w:rPr>
                <w:rFonts w:hint="default"/>
                <w:color w:val="222222"/>
                <w:sz w:val="16"/>
                <w:szCs w:val="16"/>
                <w:lang w:val="en-GB" w:eastAsia="en-IN"/>
              </w:rPr>
              <w:t>10.2GHz</w:t>
            </w:r>
          </w:p>
        </w:tc>
        <w:tc>
          <w:tcPr>
            <w:tcW w:w="737" w:type="dxa"/>
            <w:vAlign w:val="top"/>
          </w:tcPr>
          <w:p>
            <w:pPr>
              <w:widowControl/>
              <w:shd w:val="clear" w:color="auto" w:fill="FFFFFF"/>
              <w:autoSpaceDE/>
              <w:autoSpaceDN/>
              <w:spacing w:before="105" w:after="100" w:afterAutospacing="1"/>
              <w:jc w:val="both"/>
              <w:outlineLvl w:val="1"/>
              <w:rPr>
                <w:rFonts w:hint="default"/>
                <w:color w:val="222222"/>
                <w:sz w:val="16"/>
                <w:szCs w:val="16"/>
                <w:lang w:val="en-GB" w:eastAsia="en-IN"/>
              </w:rPr>
            </w:pPr>
            <w:r>
              <w:rPr>
                <w:rFonts w:hint="default"/>
                <w:color w:val="222222"/>
                <w:sz w:val="16"/>
                <w:szCs w:val="16"/>
                <w:lang w:val="en-GB" w:eastAsia="en-IN"/>
              </w:rPr>
              <w:t>-18.4dB</w:t>
            </w:r>
          </w:p>
        </w:tc>
        <w:tc>
          <w:tcPr>
            <w:tcW w:w="698" w:type="dxa"/>
            <w:vAlign w:val="top"/>
          </w:tcPr>
          <w:p>
            <w:pPr>
              <w:widowControl/>
              <w:shd w:val="clear" w:color="auto" w:fill="FFFFFF"/>
              <w:autoSpaceDE/>
              <w:autoSpaceDN/>
              <w:spacing w:before="105" w:after="100" w:afterAutospacing="1"/>
              <w:jc w:val="both"/>
              <w:outlineLvl w:val="1"/>
              <w:rPr>
                <w:rFonts w:hint="default"/>
                <w:color w:val="222222"/>
                <w:sz w:val="16"/>
                <w:szCs w:val="16"/>
                <w:lang w:val="en-GB" w:eastAsia="en-IN"/>
              </w:rPr>
            </w:pPr>
            <w:r>
              <w:rPr>
                <w:rFonts w:hint="default"/>
                <w:color w:val="222222"/>
                <w:sz w:val="16"/>
                <w:szCs w:val="16"/>
                <w:lang w:val="en-GB" w:eastAsia="en-IN"/>
              </w:rPr>
              <w:t>3.33dB</w:t>
            </w:r>
          </w:p>
        </w:tc>
        <w:tc>
          <w:tcPr>
            <w:tcW w:w="987" w:type="dxa"/>
            <w:vAlign w:val="top"/>
          </w:tcPr>
          <w:p>
            <w:pPr>
              <w:widowControl/>
              <w:shd w:val="clear" w:color="auto" w:fill="FFFFFF"/>
              <w:autoSpaceDE/>
              <w:autoSpaceDN/>
              <w:spacing w:before="105" w:after="100" w:afterAutospacing="1"/>
              <w:jc w:val="both"/>
              <w:outlineLvl w:val="1"/>
              <w:rPr>
                <w:rFonts w:hint="default"/>
                <w:color w:val="222222"/>
                <w:sz w:val="16"/>
                <w:szCs w:val="16"/>
                <w:lang w:val="en-GB" w:eastAsia="en-IN"/>
              </w:rPr>
            </w:pPr>
            <w:r>
              <w:rPr>
                <w:rFonts w:hint="default"/>
                <w:color w:val="222222"/>
                <w:sz w:val="16"/>
                <w:szCs w:val="16"/>
                <w:lang w:val="en-GB" w:eastAsia="en-IN"/>
              </w:rPr>
              <w:t>45.88%</w:t>
            </w:r>
          </w:p>
        </w:tc>
      </w:tr>
    </w:tbl>
    <w:p>
      <w:pPr>
        <w:jc w:val="both"/>
        <w:rPr>
          <w:rFonts w:hint="default"/>
          <w:i/>
          <w:iCs/>
          <w:lang w:val="en-GB"/>
        </w:rPr>
      </w:pPr>
    </w:p>
    <w:p>
      <w:pPr>
        <w:numPr>
          <w:ilvl w:val="0"/>
          <w:numId w:val="11"/>
        </w:numPr>
        <w:ind w:left="425" w:leftChars="0" w:hanging="425" w:firstLineChars="0"/>
        <w:jc w:val="both"/>
        <w:rPr>
          <w:rFonts w:hint="default"/>
          <w:i/>
          <w:iCs/>
          <w:lang w:val="en-GB"/>
        </w:rPr>
      </w:pPr>
      <w:r>
        <w:rPr>
          <w:rFonts w:hint="default"/>
          <w:i/>
          <w:iCs/>
          <w:lang w:val="en-GB"/>
        </w:rPr>
        <w:t>CONCLUSION</w:t>
      </w:r>
    </w:p>
    <w:p>
      <w:pPr>
        <w:widowControl/>
        <w:shd w:val="clear" w:color="auto" w:fill="FFFFFF"/>
        <w:autoSpaceDE/>
        <w:autoSpaceDN/>
        <w:spacing w:before="105" w:after="100" w:afterAutospacing="1"/>
        <w:jc w:val="both"/>
        <w:outlineLvl w:val="1"/>
        <w:rPr>
          <w:rFonts w:hint="default"/>
          <w:color w:val="222222"/>
          <w:sz w:val="20"/>
          <w:szCs w:val="20"/>
          <w:lang w:val="en-GB" w:eastAsia="en-IN"/>
        </w:rPr>
      </w:pPr>
      <w:r>
        <w:rPr>
          <w:color w:val="222222"/>
          <w:sz w:val="20"/>
          <w:szCs w:val="20"/>
          <w:lang w:val="en-IN" w:eastAsia="en-IN"/>
        </w:rPr>
        <w:t>The metamaterial slotted patch antenna combines metamaterial structures with traditional designs, promising enhanced performance in wireless communications. Offering wider bandwidth, higher gain, and increased directivity, it suits applications like satellite communications and radar systems. In our implementation using air material, we achieved a high gain of 2.153 dB and a return loss of -18.4 dB at a resonant frequency of 10.2 GHz, validating its potential for practical use.</w:t>
      </w:r>
    </w:p>
    <w:p>
      <w:pPr>
        <w:widowControl/>
        <w:shd w:val="clear" w:color="auto" w:fill="FFFFFF"/>
        <w:autoSpaceDE/>
        <w:autoSpaceDN/>
        <w:spacing w:before="105" w:after="100" w:afterAutospacing="1" w:line="240" w:lineRule="auto"/>
        <w:jc w:val="both"/>
        <w:outlineLvl w:val="1"/>
        <w:rPr>
          <w:sz w:val="20"/>
          <w:szCs w:val="20"/>
        </w:rPr>
      </w:pPr>
      <w:r>
        <w:rPr>
          <w:rFonts w:hint="default"/>
          <w:color w:val="222222"/>
          <w:sz w:val="20"/>
          <w:szCs w:val="20"/>
          <w:lang w:val="en-GB" w:eastAsia="en-IN"/>
        </w:rPr>
        <w:t>R</w:t>
      </w:r>
      <w:r>
        <w:rPr>
          <w:rFonts w:hint="default"/>
          <w:color w:val="222222"/>
          <w:sz w:val="18"/>
          <w:szCs w:val="18"/>
          <w:lang w:val="en-GB" w:eastAsia="en-IN"/>
        </w:rPr>
        <w:t>EFERENCE</w:t>
      </w:r>
    </w:p>
    <w:p>
      <w:pPr>
        <w:widowControl/>
        <w:autoSpaceDE/>
        <w:autoSpaceDN/>
        <w:spacing w:line="240" w:lineRule="auto"/>
        <w:jc w:val="both"/>
        <w:rPr>
          <w:sz w:val="20"/>
          <w:szCs w:val="20"/>
        </w:rPr>
      </w:pPr>
    </w:p>
    <w:p>
      <w:pPr>
        <w:widowControl/>
        <w:numPr>
          <w:ilvl w:val="0"/>
          <w:numId w:val="12"/>
        </w:numPr>
        <w:autoSpaceDE/>
        <w:autoSpaceDN/>
        <w:spacing w:line="240" w:lineRule="auto"/>
        <w:jc w:val="both"/>
        <w:rPr>
          <w:sz w:val="20"/>
          <w:szCs w:val="20"/>
        </w:rPr>
      </w:pPr>
      <w:r>
        <w:rPr>
          <w:sz w:val="20"/>
          <w:szCs w:val="20"/>
        </w:rPr>
        <w:t>Diptiranjan Samantaray</w:t>
      </w:r>
      <w:r>
        <w:rPr>
          <w:rFonts w:hint="default"/>
          <w:sz w:val="20"/>
          <w:szCs w:val="20"/>
          <w:lang w:val="en-GB"/>
        </w:rPr>
        <w:t xml:space="preserve"> </w:t>
      </w:r>
      <w:r>
        <w:rPr>
          <w:sz w:val="20"/>
          <w:szCs w:val="20"/>
        </w:rPr>
        <w:t>and Somak Bhattacharyya, “A Gain-Enhanced Slotted Patch Antenna Using Metasurface as Superstrate Configuration,” Sci. Rep., vol. 6, no. 1, pp. 1–8, May 2016</w:t>
      </w:r>
      <w:r>
        <w:rPr>
          <w:rFonts w:hint="default"/>
          <w:sz w:val="20"/>
          <w:szCs w:val="20"/>
          <w:lang w:val="en-GB"/>
        </w:rPr>
        <w:t>.</w:t>
      </w:r>
    </w:p>
    <w:p>
      <w:pPr>
        <w:widowControl/>
        <w:autoSpaceDE/>
        <w:autoSpaceDN/>
        <w:spacing w:line="240" w:lineRule="auto"/>
        <w:jc w:val="both"/>
        <w:rPr>
          <w:sz w:val="20"/>
          <w:szCs w:val="20"/>
          <w:lang w:val="en-IN"/>
        </w:rPr>
      </w:pPr>
      <w:r>
        <w:rPr>
          <w:sz w:val="20"/>
          <w:szCs w:val="20"/>
          <w:lang w:val="en-IN"/>
        </w:rPr>
        <w:t xml:space="preserve">[2] F. H. Lin and Z. N. Chen, “Low-profile wideband metasurface antennas using characteristic mode analysis,” IEEE Trans. Antennas Propag., vol. 65, no. 4, pp. 1706–1713, Apr. 2017. </w:t>
      </w:r>
    </w:p>
    <w:p>
      <w:pPr>
        <w:widowControl/>
        <w:autoSpaceDE/>
        <w:autoSpaceDN/>
        <w:spacing w:line="240" w:lineRule="auto"/>
        <w:jc w:val="both"/>
        <w:rPr>
          <w:sz w:val="20"/>
          <w:szCs w:val="20"/>
        </w:rPr>
      </w:pPr>
      <w:r>
        <w:rPr>
          <w:sz w:val="20"/>
          <w:szCs w:val="20"/>
        </w:rPr>
        <w:t>[3] Y. Zheng et al., “Wideband gain enhancement and RCS reduction of Fabry–Pérot resonator antenna with chessboard arranged metamaterial superstrate,” IEEE Trans. Antennas Propag., vol. 66, no. 2, pp. 590–599, Feb. 2018</w:t>
      </w:r>
    </w:p>
    <w:p>
      <w:pPr>
        <w:widowControl/>
        <w:autoSpaceDE/>
        <w:autoSpaceDN/>
        <w:spacing w:line="240" w:lineRule="auto"/>
        <w:jc w:val="both"/>
        <w:rPr>
          <w:sz w:val="20"/>
          <w:szCs w:val="20"/>
          <w:lang w:val="en-IN"/>
        </w:rPr>
      </w:pPr>
      <w:r>
        <w:rPr>
          <w:sz w:val="20"/>
          <w:szCs w:val="20"/>
        </w:rPr>
        <w:t>[4] T. Sleasman et al., “Experimental synthetic aperture radar with dynamic metasurfaces,” IEEE Trans. Antennas Propag., vol. 65, no. 12, pp. 6864–6877, Dec. 2017.</w:t>
      </w:r>
    </w:p>
    <w:p>
      <w:pPr>
        <w:pStyle w:val="22"/>
        <w:numPr>
          <w:ilvl w:val="0"/>
          <w:numId w:val="0"/>
        </w:numPr>
      </w:pPr>
    </w:p>
    <w:p>
      <w:pPr>
        <w:pStyle w:val="22"/>
        <w:numPr>
          <w:ilvl w:val="0"/>
          <w:numId w:val="0"/>
        </w:numPr>
        <w:spacing w:line="240" w:lineRule="auto"/>
        <w:ind w:left="360" w:hanging="360"/>
        <w:jc w:val="center"/>
        <w:rPr>
          <w:rFonts w:eastAsia="SimSun"/>
          <w:b/>
          <w:color w:val="FF0000"/>
          <w:spacing w:val="-1"/>
          <w:sz w:val="20"/>
          <w:szCs w:val="20"/>
          <w:lang w:val="zh-CN" w:eastAsia="zh-CN"/>
        </w:rPr>
        <w:sectPr>
          <w:type w:val="continuous"/>
          <w:pgSz w:w="11906" w:h="16838"/>
          <w:pgMar w:top="1080" w:right="907" w:bottom="1440" w:left="907" w:header="720" w:footer="720" w:gutter="0"/>
          <w:cols w:space="360" w:num="2"/>
          <w:docGrid w:linePitch="360" w:charSpace="0"/>
        </w:sectPr>
      </w:pPr>
    </w:p>
    <w:p/>
    <w:sectPr>
      <w:type w:val="continuous"/>
      <w:pgSz w:w="11906" w:h="16838"/>
      <w:pgMar w:top="1080" w:right="893" w:bottom="1440" w:left="893"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0"/>
    <w:family w:val="roman"/>
    <w:pitch w:val="default"/>
    <w:sig w:usb0="00000000" w:usb1="00000000" w:usb2="00000000" w:usb3="00000000" w:csb0="80000000" w:csb1="00000000"/>
  </w:font>
  <w:font w:name="MS Mincho">
    <w:panose1 w:val="02020609040205080304"/>
    <w:charset w:val="80"/>
    <w:family w:val="roman"/>
    <w:pitch w:val="default"/>
    <w:sig w:usb0="A00002BF" w:usb1="68C7FCFB" w:usb2="00000010" w:usb3="00000000" w:csb0="4002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sz w:val="16"/>
        <w:szCs w:val="16"/>
      </w:rPr>
    </w:pPr>
    <w:r>
      <w:rPr>
        <w:sz w:val="16"/>
        <w:szCs w:val="16"/>
      </w:rPr>
      <w:t>XXX-X-XXXX-XXXX-X/XX/$XX.00 ©20XX IEEE</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0C4100"/>
    <w:multiLevelType w:val="singleLevel"/>
    <w:tmpl w:val="CC0C4100"/>
    <w:lvl w:ilvl="0" w:tentative="0">
      <w:start w:val="5"/>
      <w:numFmt w:val="upperRoman"/>
      <w:lvlText w:val="%1."/>
      <w:lvlJc w:val="left"/>
      <w:pPr>
        <w:tabs>
          <w:tab w:val="left" w:pos="425"/>
        </w:tabs>
        <w:ind w:left="425" w:leftChars="0" w:hanging="425" w:firstLineChars="0"/>
      </w:pPr>
      <w:rPr>
        <w:rFonts w:hint="default"/>
      </w:rPr>
    </w:lvl>
  </w:abstractNum>
  <w:abstractNum w:abstractNumId="1">
    <w:nsid w:val="D027269A"/>
    <w:multiLevelType w:val="singleLevel"/>
    <w:tmpl w:val="D027269A"/>
    <w:lvl w:ilvl="0" w:tentative="0">
      <w:start w:val="4"/>
      <w:numFmt w:val="upperRoman"/>
      <w:lvlText w:val="%1."/>
      <w:lvlJc w:val="left"/>
      <w:pPr>
        <w:tabs>
          <w:tab w:val="left" w:pos="425"/>
        </w:tabs>
        <w:ind w:left="425" w:leftChars="0" w:hanging="425" w:firstLineChars="0"/>
      </w:pPr>
      <w:rPr>
        <w:rFonts w:hint="default"/>
      </w:rPr>
    </w:lvl>
  </w:abstractNum>
  <w:abstractNum w:abstractNumId="2">
    <w:nsid w:val="E34F981B"/>
    <w:multiLevelType w:val="singleLevel"/>
    <w:tmpl w:val="E34F981B"/>
    <w:lvl w:ilvl="0" w:tentative="0">
      <w:start w:val="1"/>
      <w:numFmt w:val="upperLetter"/>
      <w:suff w:val="space"/>
      <w:lvlText w:val="%1."/>
      <w:lvlJc w:val="left"/>
      <w:rPr>
        <w:rFonts w:hint="default"/>
        <w:i/>
        <w:iCs/>
      </w:rPr>
    </w:lvl>
  </w:abstractNum>
  <w:abstractNum w:abstractNumId="3">
    <w:nsid w:val="0BC950CE"/>
    <w:multiLevelType w:val="singleLevel"/>
    <w:tmpl w:val="0BC950CE"/>
    <w:lvl w:ilvl="0" w:tentative="0">
      <w:start w:val="1"/>
      <w:numFmt w:val="decimal"/>
      <w:suff w:val="space"/>
      <w:lvlText w:val="[%1]"/>
      <w:lvlJc w:val="left"/>
    </w:lvl>
  </w:abstractNum>
  <w:abstractNum w:abstractNumId="4">
    <w:nsid w:val="126B63B8"/>
    <w:multiLevelType w:val="singleLevel"/>
    <w:tmpl w:val="126B63B8"/>
    <w:lvl w:ilvl="0" w:tentative="0">
      <w:start w:val="6"/>
      <w:numFmt w:val="upperRoman"/>
      <w:lvlText w:val="%1."/>
      <w:lvlJc w:val="left"/>
      <w:pPr>
        <w:tabs>
          <w:tab w:val="left" w:pos="425"/>
        </w:tabs>
        <w:ind w:left="425" w:leftChars="0" w:hanging="425" w:firstLineChars="0"/>
      </w:pPr>
      <w:rPr>
        <w:rFonts w:hint="default"/>
      </w:rPr>
    </w:lvl>
  </w:abstractNum>
  <w:abstractNum w:abstractNumId="5">
    <w:nsid w:val="26FE1FCF"/>
    <w:multiLevelType w:val="multilevel"/>
    <w:tmpl w:val="26FE1FCF"/>
    <w:lvl w:ilvl="0" w:tentative="0">
      <w:start w:val="1"/>
      <w:numFmt w:val="decimal"/>
      <w:pStyle w:val="19"/>
      <w:lvlText w:val="%1 "/>
      <w:lvlJc w:val="left"/>
      <w:pPr>
        <w:tabs>
          <w:tab w:val="left" w:pos="648"/>
        </w:tabs>
        <w:ind w:firstLine="288"/>
      </w:pPr>
      <w:rPr>
        <w:rFonts w:hint="default" w:ascii="Times New Roman" w:hAnsi="Times New Roman" w:cs="Times New Roman"/>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6">
    <w:nsid w:val="37660336"/>
    <w:multiLevelType w:val="multilevel"/>
    <w:tmpl w:val="37660336"/>
    <w:lvl w:ilvl="0" w:tentative="0">
      <w:start w:val="1"/>
      <w:numFmt w:val="bullet"/>
      <w:pStyle w:val="16"/>
      <w:lvlText w:val=""/>
      <w:lvlJc w:val="left"/>
      <w:pPr>
        <w:tabs>
          <w:tab w:val="left" w:pos="648"/>
        </w:tabs>
        <w:ind w:left="648"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4189603E"/>
    <w:multiLevelType w:val="multilevel"/>
    <w:tmpl w:val="4189603E"/>
    <w:lvl w:ilvl="0" w:tentative="0">
      <w:start w:val="1"/>
      <w:numFmt w:val="upperRoman"/>
      <w:pStyle w:val="2"/>
      <w:lvlText w:val="%1."/>
      <w:lvlJc w:val="center"/>
      <w:pPr>
        <w:tabs>
          <w:tab w:val="left" w:pos="576"/>
        </w:tabs>
        <w:ind w:firstLine="216"/>
      </w:pPr>
      <w:rPr>
        <w:rFonts w:hint="default" w:ascii="Times New Roman" w:hAnsi="Times New Roman" w:cs="Times New Roman"/>
        <w:caps w:val="0"/>
        <w:strike w:val="0"/>
        <w:dstrike w:val="0"/>
        <w:vanish w:val="0"/>
        <w:color w:val="auto"/>
        <w:sz w:val="20"/>
        <w:szCs w:val="20"/>
        <w:vertAlign w:val="baseline"/>
        <w14:shadow w14:blurRad="0" w14:dist="0" w14:dir="0" w14:sx="0" w14:sy="0" w14:kx="0" w14:ky="0" w14:algn="none">
          <w14:srgbClr w14:val="000000"/>
        </w14:shadow>
      </w:rPr>
    </w:lvl>
    <w:lvl w:ilvl="1" w:tentative="0">
      <w:start w:val="1"/>
      <w:numFmt w:val="upperLetter"/>
      <w:pStyle w:val="3"/>
      <w:lvlText w:val="%2."/>
      <w:lvlJc w:val="left"/>
      <w:pPr>
        <w:tabs>
          <w:tab w:val="left" w:pos="360"/>
        </w:tabs>
        <w:ind w:left="288" w:hanging="288"/>
      </w:pPr>
      <w:rPr>
        <w:rFonts w:hint="default" w:ascii="Times New Roman" w:hAnsi="Times New Roman" w:cs="Times New Roman"/>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tentative="0">
      <w:start w:val="1"/>
      <w:numFmt w:val="decimal"/>
      <w:pStyle w:val="4"/>
      <w:lvlText w:val="%3)"/>
      <w:lvlJc w:val="left"/>
      <w:pPr>
        <w:tabs>
          <w:tab w:val="left" w:pos="540"/>
        </w:tabs>
        <w:ind w:firstLine="180"/>
      </w:pPr>
      <w:rPr>
        <w:rFonts w:hint="default" w:ascii="Times New Roman" w:hAnsi="Times New Roman" w:cs="Times New Roman"/>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tentative="0">
      <w:start w:val="1"/>
      <w:numFmt w:val="lowerLetter"/>
      <w:pStyle w:val="5"/>
      <w:lvlText w:val="%4)"/>
      <w:lvlJc w:val="left"/>
      <w:pPr>
        <w:tabs>
          <w:tab w:val="left" w:pos="630"/>
        </w:tabs>
        <w:ind w:firstLine="360"/>
      </w:pPr>
      <w:rPr>
        <w:rFonts w:hint="default" w:ascii="Times New Roman" w:hAnsi="Times New Roman" w:cs="Times New Roman"/>
        <w:b w:val="0"/>
        <w:bCs w:val="0"/>
        <w:i/>
        <w:iCs/>
        <w:sz w:val="20"/>
        <w:szCs w:val="20"/>
      </w:rPr>
    </w:lvl>
    <w:lvl w:ilvl="4" w:tentative="0">
      <w:start w:val="1"/>
      <w:numFmt w:val="none"/>
      <w:lvlRestart w:val="0"/>
      <w:lvlText w:val=""/>
      <w:lvlJc w:val="left"/>
      <w:pPr>
        <w:tabs>
          <w:tab w:val="left" w:pos="3240"/>
        </w:tabs>
        <w:ind w:left="2880"/>
      </w:pPr>
      <w:rPr>
        <w:rFonts w:hint="default" w:cs="Times New Roman"/>
      </w:rPr>
    </w:lvl>
    <w:lvl w:ilvl="5" w:tentative="0">
      <w:start w:val="1"/>
      <w:numFmt w:val="lowerLetter"/>
      <w:lvlText w:val="(%6)"/>
      <w:lvlJc w:val="left"/>
      <w:pPr>
        <w:tabs>
          <w:tab w:val="left" w:pos="3960"/>
        </w:tabs>
        <w:ind w:left="3600"/>
      </w:pPr>
      <w:rPr>
        <w:rFonts w:hint="default" w:cs="Times New Roman"/>
      </w:rPr>
    </w:lvl>
    <w:lvl w:ilvl="6" w:tentative="0">
      <w:start w:val="1"/>
      <w:numFmt w:val="lowerRoman"/>
      <w:lvlText w:val="(%7)"/>
      <w:lvlJc w:val="left"/>
      <w:pPr>
        <w:tabs>
          <w:tab w:val="left" w:pos="4680"/>
        </w:tabs>
        <w:ind w:left="4320"/>
      </w:pPr>
      <w:rPr>
        <w:rFonts w:hint="default" w:cs="Times New Roman"/>
      </w:rPr>
    </w:lvl>
    <w:lvl w:ilvl="7" w:tentative="0">
      <w:start w:val="1"/>
      <w:numFmt w:val="lowerLetter"/>
      <w:lvlText w:val="(%8)"/>
      <w:lvlJc w:val="left"/>
      <w:pPr>
        <w:tabs>
          <w:tab w:val="left" w:pos="5400"/>
        </w:tabs>
        <w:ind w:left="5040"/>
      </w:pPr>
      <w:rPr>
        <w:rFonts w:hint="default" w:cs="Times New Roman"/>
      </w:rPr>
    </w:lvl>
    <w:lvl w:ilvl="8" w:tentative="0">
      <w:start w:val="1"/>
      <w:numFmt w:val="lowerRoman"/>
      <w:lvlText w:val="(%9)"/>
      <w:lvlJc w:val="left"/>
      <w:pPr>
        <w:tabs>
          <w:tab w:val="left" w:pos="6120"/>
        </w:tabs>
        <w:ind w:left="5760"/>
      </w:pPr>
      <w:rPr>
        <w:rFonts w:hint="default" w:cs="Times New Roman"/>
      </w:rPr>
    </w:lvl>
  </w:abstractNum>
  <w:abstractNum w:abstractNumId="8">
    <w:nsid w:val="493C3F76"/>
    <w:multiLevelType w:val="multilevel"/>
    <w:tmpl w:val="493C3F76"/>
    <w:lvl w:ilvl="0" w:tentative="0">
      <w:start w:val="1"/>
      <w:numFmt w:val="lowerLetter"/>
      <w:pStyle w:val="27"/>
      <w:lvlText w:val="%1."/>
      <w:lvlJc w:val="right"/>
      <w:pPr>
        <w:ind w:left="418" w:hanging="360"/>
      </w:pPr>
      <w:rPr>
        <w:rFonts w:hint="default" w:ascii="Times New Roman" w:hAnsi="Times New Roman"/>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2CA544A"/>
    <w:multiLevelType w:val="singleLevel"/>
    <w:tmpl w:val="52CA544A"/>
    <w:lvl w:ilvl="0" w:tentative="0">
      <w:start w:val="1"/>
      <w:numFmt w:val="decimal"/>
      <w:pStyle w:val="22"/>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10">
    <w:nsid w:val="6C402C58"/>
    <w:multiLevelType w:val="multilevel"/>
    <w:tmpl w:val="6C402C58"/>
    <w:lvl w:ilvl="0" w:tentative="0">
      <w:start w:val="1"/>
      <w:numFmt w:val="decimal"/>
      <w:pStyle w:val="18"/>
      <w:lvlText w:val="Fig. %1."/>
      <w:lvlJc w:val="left"/>
      <w:pPr>
        <w:ind w:left="360" w:hanging="360"/>
      </w:pPr>
      <w:rPr>
        <w:rFonts w:hint="default" w:ascii="Times New Roman" w:hAnsi="Times New Roman" w:cs="Times New Roman"/>
        <w:b w:val="0"/>
        <w:bCs w:val="0"/>
        <w:i w:val="0"/>
        <w:iCs w:val="0"/>
        <w:color w:val="auto"/>
        <w:sz w:val="16"/>
        <w:szCs w:val="16"/>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1">
    <w:nsid w:val="6CD32DA8"/>
    <w:multiLevelType w:val="singleLevel"/>
    <w:tmpl w:val="6CD32DA8"/>
    <w:lvl w:ilvl="0" w:tentative="0">
      <w:start w:val="1"/>
      <w:numFmt w:val="upperRoman"/>
      <w:pStyle w:val="28"/>
      <w:lvlText w:val="TABLE %1. "/>
      <w:lvlJc w:val="left"/>
      <w:pPr>
        <w:tabs>
          <w:tab w:val="left" w:pos="1080"/>
        </w:tabs>
      </w:pPr>
      <w:rPr>
        <w:rFonts w:hint="default" w:ascii="Times New Roman" w:hAnsi="Times New Roman" w:cs="Times New Roman"/>
        <w:b w:val="0"/>
        <w:bCs w:val="0"/>
        <w:i w:val="0"/>
        <w:iCs w:val="0"/>
        <w:sz w:val="16"/>
        <w:szCs w:val="16"/>
      </w:rPr>
    </w:lvl>
  </w:abstractNum>
  <w:num w:numId="1">
    <w:abstractNumId w:val="7"/>
  </w:num>
  <w:num w:numId="2">
    <w:abstractNumId w:val="6"/>
  </w:num>
  <w:num w:numId="3">
    <w:abstractNumId w:val="10"/>
  </w:num>
  <w:num w:numId="4">
    <w:abstractNumId w:val="5"/>
  </w:num>
  <w:num w:numId="5">
    <w:abstractNumId w:val="9"/>
  </w:num>
  <w:num w:numId="6">
    <w:abstractNumId w:val="8"/>
  </w:num>
  <w:num w:numId="7">
    <w:abstractNumId w:val="11"/>
  </w:num>
  <w:num w:numId="8">
    <w:abstractNumId w:val="2"/>
  </w:num>
  <w:num w:numId="9">
    <w:abstractNumId w:val="1"/>
  </w:num>
  <w:num w:numId="10">
    <w:abstractNumId w:val="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4781E"/>
    <w:rsid w:val="0008758A"/>
    <w:rsid w:val="000C1E68"/>
    <w:rsid w:val="001A2EFD"/>
    <w:rsid w:val="001A3B3D"/>
    <w:rsid w:val="001B67DC"/>
    <w:rsid w:val="002254A9"/>
    <w:rsid w:val="00233D97"/>
    <w:rsid w:val="002347A2"/>
    <w:rsid w:val="002850E3"/>
    <w:rsid w:val="00354FCF"/>
    <w:rsid w:val="003A19E2"/>
    <w:rsid w:val="003B2B40"/>
    <w:rsid w:val="003B4E04"/>
    <w:rsid w:val="003F5A08"/>
    <w:rsid w:val="00420716"/>
    <w:rsid w:val="004325FB"/>
    <w:rsid w:val="004432BA"/>
    <w:rsid w:val="0044407E"/>
    <w:rsid w:val="00447BB9"/>
    <w:rsid w:val="0046031D"/>
    <w:rsid w:val="00473AC9"/>
    <w:rsid w:val="004D72B5"/>
    <w:rsid w:val="00551B7F"/>
    <w:rsid w:val="0056610F"/>
    <w:rsid w:val="00575BCA"/>
    <w:rsid w:val="005B0344"/>
    <w:rsid w:val="005B520E"/>
    <w:rsid w:val="005E2800"/>
    <w:rsid w:val="00605825"/>
    <w:rsid w:val="00645D22"/>
    <w:rsid w:val="00651A08"/>
    <w:rsid w:val="00654204"/>
    <w:rsid w:val="00670434"/>
    <w:rsid w:val="006B6B66"/>
    <w:rsid w:val="006F6D3D"/>
    <w:rsid w:val="00715BEA"/>
    <w:rsid w:val="00740EEA"/>
    <w:rsid w:val="00794804"/>
    <w:rsid w:val="007B33F1"/>
    <w:rsid w:val="007B6DDA"/>
    <w:rsid w:val="007C0308"/>
    <w:rsid w:val="007C2FF2"/>
    <w:rsid w:val="007D6232"/>
    <w:rsid w:val="007F1F99"/>
    <w:rsid w:val="007F768F"/>
    <w:rsid w:val="0080791D"/>
    <w:rsid w:val="00836367"/>
    <w:rsid w:val="00873603"/>
    <w:rsid w:val="008A2C7D"/>
    <w:rsid w:val="008B6524"/>
    <w:rsid w:val="008C4B23"/>
    <w:rsid w:val="008F6E2C"/>
    <w:rsid w:val="009303D9"/>
    <w:rsid w:val="00933C64"/>
    <w:rsid w:val="00972203"/>
    <w:rsid w:val="009F1D79"/>
    <w:rsid w:val="00A059B3"/>
    <w:rsid w:val="00AE3409"/>
    <w:rsid w:val="00B11A60"/>
    <w:rsid w:val="00B22613"/>
    <w:rsid w:val="00B44A76"/>
    <w:rsid w:val="00B768D1"/>
    <w:rsid w:val="00BA1025"/>
    <w:rsid w:val="00BC3420"/>
    <w:rsid w:val="00BD670B"/>
    <w:rsid w:val="00BE7D3C"/>
    <w:rsid w:val="00BF5FF6"/>
    <w:rsid w:val="00C0207F"/>
    <w:rsid w:val="00C16117"/>
    <w:rsid w:val="00C3075A"/>
    <w:rsid w:val="00C919A4"/>
    <w:rsid w:val="00CA4392"/>
    <w:rsid w:val="00CC393F"/>
    <w:rsid w:val="00D2176E"/>
    <w:rsid w:val="00D632BE"/>
    <w:rsid w:val="00D72D06"/>
    <w:rsid w:val="00D7522C"/>
    <w:rsid w:val="00D7536F"/>
    <w:rsid w:val="00D76668"/>
    <w:rsid w:val="00E07383"/>
    <w:rsid w:val="00E165BC"/>
    <w:rsid w:val="00E61E12"/>
    <w:rsid w:val="00E7596C"/>
    <w:rsid w:val="00E878F2"/>
    <w:rsid w:val="00ED0149"/>
    <w:rsid w:val="00EF7DE3"/>
    <w:rsid w:val="00F03103"/>
    <w:rsid w:val="00F271DE"/>
    <w:rsid w:val="00F627DA"/>
    <w:rsid w:val="00F7288F"/>
    <w:rsid w:val="00F847A6"/>
    <w:rsid w:val="00F9441B"/>
    <w:rsid w:val="00FA4C32"/>
    <w:rsid w:val="00FE7114"/>
    <w:rsid w:val="027875F7"/>
    <w:rsid w:val="12941AEA"/>
    <w:rsid w:val="3B407142"/>
    <w:rsid w:val="3D43308F"/>
    <w:rsid w:val="3DBB7856"/>
    <w:rsid w:val="57290D9E"/>
    <w:rsid w:val="6D334424"/>
    <w:rsid w:val="73C970AB"/>
    <w:rsid w:val="7BBD330A"/>
    <w:rsid w:val="7CAC476D"/>
    <w:rsid w:val="7D394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center"/>
    </w:pPr>
    <w:rPr>
      <w:rFonts w:ascii="Times New Roman" w:hAnsi="Times New Roman" w:eastAsia="SimSun" w:cs="Times New Roman"/>
      <w:lang w:val="en-US" w:eastAsia="en-US" w:bidi="ar-SA"/>
    </w:rPr>
  </w:style>
  <w:style w:type="paragraph" w:styleId="2">
    <w:name w:val="heading 1"/>
    <w:basedOn w:val="1"/>
    <w:next w:val="1"/>
    <w:qFormat/>
    <w:uiPriority w:val="0"/>
    <w:pPr>
      <w:keepNext/>
      <w:keepLines/>
      <w:numPr>
        <w:ilvl w:val="0"/>
        <w:numId w:val="1"/>
      </w:numPr>
      <w:tabs>
        <w:tab w:val="left" w:pos="216"/>
      </w:tabs>
      <w:spacing w:before="160" w:after="80"/>
      <w:ind w:firstLine="0"/>
      <w:outlineLvl w:val="0"/>
    </w:pPr>
    <w:rPr>
      <w:smallCaps/>
    </w:rPr>
  </w:style>
  <w:style w:type="paragraph" w:styleId="3">
    <w:name w:val="heading 2"/>
    <w:basedOn w:val="1"/>
    <w:next w:val="1"/>
    <w:qFormat/>
    <w:uiPriority w:val="0"/>
    <w:pPr>
      <w:keepNext/>
      <w:keepLines/>
      <w:numPr>
        <w:ilvl w:val="1"/>
        <w:numId w:val="1"/>
      </w:numPr>
      <w:tabs>
        <w:tab w:val="left" w:pos="288"/>
        <w:tab w:val="clear" w:pos="360"/>
      </w:tabs>
      <w:spacing w:before="120" w:after="60"/>
      <w:jc w:val="left"/>
      <w:outlineLvl w:val="1"/>
    </w:pPr>
    <w:rPr>
      <w:i/>
      <w:iCs/>
    </w:rPr>
  </w:style>
  <w:style w:type="paragraph" w:styleId="4">
    <w:name w:val="heading 3"/>
    <w:basedOn w:val="1"/>
    <w:next w:val="1"/>
    <w:qFormat/>
    <w:uiPriority w:val="0"/>
    <w:pPr>
      <w:numPr>
        <w:ilvl w:val="2"/>
        <w:numId w:val="1"/>
      </w:numPr>
      <w:spacing w:line="240" w:lineRule="exact"/>
      <w:ind w:firstLine="288"/>
      <w:jc w:val="both"/>
      <w:outlineLvl w:val="2"/>
    </w:pPr>
    <w:rPr>
      <w:i/>
      <w:iCs/>
    </w:rPr>
  </w:style>
  <w:style w:type="paragraph" w:styleId="5">
    <w:name w:val="heading 4"/>
    <w:basedOn w:val="1"/>
    <w:next w:val="1"/>
    <w:qFormat/>
    <w:uiPriority w:val="0"/>
    <w:pPr>
      <w:numPr>
        <w:ilvl w:val="3"/>
        <w:numId w:val="1"/>
      </w:numPr>
      <w:tabs>
        <w:tab w:val="left" w:pos="720"/>
        <w:tab w:val="clear" w:pos="630"/>
      </w:tabs>
      <w:spacing w:before="40" w:after="40"/>
      <w:ind w:firstLine="504"/>
      <w:jc w:val="both"/>
      <w:outlineLvl w:val="3"/>
    </w:pPr>
    <w:rPr>
      <w:i/>
      <w:iCs/>
    </w:rPr>
  </w:style>
  <w:style w:type="paragraph" w:styleId="6">
    <w:name w:val="heading 5"/>
    <w:basedOn w:val="1"/>
    <w:next w:val="1"/>
    <w:qFormat/>
    <w:uiPriority w:val="0"/>
    <w:pPr>
      <w:tabs>
        <w:tab w:val="left" w:pos="360"/>
      </w:tabs>
      <w:spacing w:before="160" w:after="80"/>
      <w:outlineLvl w:val="4"/>
    </w:pPr>
    <w:rPr>
      <w:smallCaps/>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ody Text"/>
    <w:basedOn w:val="1"/>
    <w:link w:val="15"/>
    <w:uiPriority w:val="0"/>
    <w:pPr>
      <w:tabs>
        <w:tab w:val="left" w:pos="288"/>
      </w:tabs>
      <w:spacing w:after="120" w:line="228" w:lineRule="auto"/>
      <w:ind w:firstLine="288"/>
      <w:jc w:val="both"/>
    </w:pPr>
    <w:rPr>
      <w:spacing w:val="-1"/>
      <w:lang w:val="zh-CN" w:eastAsia="zh-CN"/>
    </w:rPr>
  </w:style>
  <w:style w:type="paragraph" w:styleId="10">
    <w:name w:val="footer"/>
    <w:basedOn w:val="1"/>
    <w:link w:val="31"/>
    <w:uiPriority w:val="0"/>
    <w:pPr>
      <w:tabs>
        <w:tab w:val="center" w:pos="4680"/>
        <w:tab w:val="right" w:pos="9360"/>
      </w:tabs>
    </w:pPr>
  </w:style>
  <w:style w:type="paragraph" w:styleId="11">
    <w:name w:val="header"/>
    <w:basedOn w:val="1"/>
    <w:link w:val="30"/>
    <w:uiPriority w:val="0"/>
    <w:pPr>
      <w:tabs>
        <w:tab w:val="center" w:pos="4680"/>
        <w:tab w:val="right" w:pos="9360"/>
      </w:tabs>
    </w:pPr>
  </w:style>
  <w:style w:type="paragraph" w:customStyle="1" w:styleId="12">
    <w:name w:val="Abstract"/>
    <w:uiPriority w:val="0"/>
    <w:pPr>
      <w:spacing w:after="200"/>
      <w:ind w:firstLine="272"/>
      <w:jc w:val="both"/>
    </w:pPr>
    <w:rPr>
      <w:rFonts w:ascii="Times New Roman" w:hAnsi="Times New Roman" w:eastAsia="SimSun" w:cs="Times New Roman"/>
      <w:b/>
      <w:bCs/>
      <w:sz w:val="18"/>
      <w:szCs w:val="18"/>
      <w:lang w:val="en-US" w:eastAsia="en-US" w:bidi="ar-SA"/>
    </w:rPr>
  </w:style>
  <w:style w:type="paragraph" w:customStyle="1" w:styleId="13">
    <w:name w:val="Affiliation"/>
    <w:uiPriority w:val="0"/>
    <w:pPr>
      <w:jc w:val="center"/>
    </w:pPr>
    <w:rPr>
      <w:rFonts w:ascii="Times New Roman" w:hAnsi="Times New Roman" w:eastAsia="SimSun" w:cs="Times New Roman"/>
      <w:lang w:val="en-US" w:eastAsia="en-US" w:bidi="ar-SA"/>
    </w:rPr>
  </w:style>
  <w:style w:type="paragraph" w:customStyle="1" w:styleId="14">
    <w:name w:val="Author"/>
    <w:uiPriority w:val="0"/>
    <w:pPr>
      <w:spacing w:before="360" w:after="40"/>
      <w:jc w:val="center"/>
    </w:pPr>
    <w:rPr>
      <w:rFonts w:ascii="Times New Roman" w:hAnsi="Times New Roman" w:eastAsia="SimSun" w:cs="Times New Roman"/>
      <w:sz w:val="22"/>
      <w:szCs w:val="22"/>
      <w:lang w:val="en-US" w:eastAsia="en-US" w:bidi="ar-SA"/>
    </w:rPr>
  </w:style>
  <w:style w:type="character" w:customStyle="1" w:styleId="15">
    <w:name w:val="Body Text Char"/>
    <w:link w:val="9"/>
    <w:uiPriority w:val="0"/>
    <w:rPr>
      <w:spacing w:val="-1"/>
      <w:lang w:val="zh-CN" w:eastAsia="zh-CN"/>
    </w:rPr>
  </w:style>
  <w:style w:type="paragraph" w:customStyle="1" w:styleId="16">
    <w:name w:val="bullet list"/>
    <w:basedOn w:val="9"/>
    <w:uiPriority w:val="0"/>
    <w:pPr>
      <w:numPr>
        <w:ilvl w:val="0"/>
        <w:numId w:val="2"/>
      </w:numPr>
      <w:tabs>
        <w:tab w:val="clear" w:pos="648"/>
      </w:tabs>
      <w:ind w:left="576" w:hanging="288"/>
    </w:pPr>
  </w:style>
  <w:style w:type="paragraph" w:customStyle="1" w:styleId="17">
    <w:name w:val="equation"/>
    <w:basedOn w:val="1"/>
    <w:uiPriority w:val="0"/>
    <w:pPr>
      <w:tabs>
        <w:tab w:val="center" w:pos="2520"/>
        <w:tab w:val="right" w:pos="5040"/>
      </w:tabs>
      <w:spacing w:before="240" w:after="240" w:line="216" w:lineRule="auto"/>
    </w:pPr>
    <w:rPr>
      <w:rFonts w:ascii="Symbol" w:hAnsi="Symbol" w:cs="Symbol"/>
    </w:rPr>
  </w:style>
  <w:style w:type="paragraph" w:customStyle="1" w:styleId="18">
    <w:name w:val="figure caption"/>
    <w:uiPriority w:val="0"/>
    <w:pPr>
      <w:numPr>
        <w:ilvl w:val="0"/>
        <w:numId w:val="3"/>
      </w:numPr>
      <w:tabs>
        <w:tab w:val="left" w:pos="533"/>
      </w:tabs>
      <w:spacing w:before="80" w:after="200"/>
      <w:ind w:left="0" w:firstLine="0"/>
      <w:jc w:val="both"/>
    </w:pPr>
    <w:rPr>
      <w:rFonts w:ascii="Times New Roman" w:hAnsi="Times New Roman" w:eastAsia="SimSun" w:cs="Times New Roman"/>
      <w:sz w:val="16"/>
      <w:szCs w:val="16"/>
      <w:lang w:val="en-US" w:eastAsia="en-US" w:bidi="ar-SA"/>
    </w:rPr>
  </w:style>
  <w:style w:type="paragraph" w:customStyle="1" w:styleId="19">
    <w:name w:val="footnote"/>
    <w:uiPriority w:val="0"/>
    <w:pPr>
      <w:framePr w:hSpace="187" w:vSpace="187" w:wrap="notBeside" w:vAnchor="text" w:hAnchor="page" w:x="6121" w:y="577"/>
      <w:numPr>
        <w:ilvl w:val="0"/>
        <w:numId w:val="4"/>
      </w:numPr>
      <w:spacing w:after="40"/>
    </w:pPr>
    <w:rPr>
      <w:rFonts w:ascii="Times New Roman" w:hAnsi="Times New Roman" w:eastAsia="SimSun" w:cs="Times New Roman"/>
      <w:sz w:val="16"/>
      <w:szCs w:val="16"/>
      <w:lang w:val="en-US" w:eastAsia="en-US" w:bidi="ar-SA"/>
    </w:rPr>
  </w:style>
  <w:style w:type="paragraph" w:customStyle="1" w:styleId="20">
    <w:name w:val="paper subtitle"/>
    <w:uiPriority w:val="0"/>
    <w:pPr>
      <w:spacing w:after="120"/>
      <w:jc w:val="center"/>
    </w:pPr>
    <w:rPr>
      <w:rFonts w:ascii="Times New Roman" w:hAnsi="Times New Roman" w:eastAsia="MS Mincho" w:cs="Times New Roman"/>
      <w:sz w:val="28"/>
      <w:szCs w:val="28"/>
      <w:lang w:val="en-US" w:eastAsia="en-US" w:bidi="ar-SA"/>
    </w:rPr>
  </w:style>
  <w:style w:type="paragraph" w:customStyle="1" w:styleId="21">
    <w:name w:val="paper title"/>
    <w:uiPriority w:val="0"/>
    <w:pPr>
      <w:spacing w:after="120"/>
      <w:jc w:val="center"/>
    </w:pPr>
    <w:rPr>
      <w:rFonts w:ascii="Times New Roman" w:hAnsi="Times New Roman" w:eastAsia="MS Mincho" w:cs="Times New Roman"/>
      <w:sz w:val="48"/>
      <w:szCs w:val="48"/>
      <w:lang w:val="en-US" w:eastAsia="en-US" w:bidi="ar-SA"/>
    </w:rPr>
  </w:style>
  <w:style w:type="paragraph" w:customStyle="1" w:styleId="22">
    <w:name w:val="references"/>
    <w:uiPriority w:val="0"/>
    <w:pPr>
      <w:numPr>
        <w:ilvl w:val="0"/>
        <w:numId w:val="5"/>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23">
    <w:name w:val="sponsors"/>
    <w:uiPriority w:val="0"/>
    <w:pPr>
      <w:framePr w:wrap="auto" w:vAnchor="margin" w:hAnchor="text" w:x="615" w:y="2239"/>
      <w:pBdr>
        <w:top w:val="single" w:color="auto" w:sz="4" w:space="2"/>
      </w:pBdr>
      <w:ind w:firstLine="288"/>
    </w:pPr>
    <w:rPr>
      <w:rFonts w:ascii="Times New Roman" w:hAnsi="Times New Roman" w:eastAsia="SimSun" w:cs="Times New Roman"/>
      <w:sz w:val="16"/>
      <w:szCs w:val="16"/>
      <w:lang w:val="en-US" w:eastAsia="en-US" w:bidi="ar-SA"/>
    </w:rPr>
  </w:style>
  <w:style w:type="paragraph" w:customStyle="1" w:styleId="24">
    <w:name w:val="table col head"/>
    <w:basedOn w:val="1"/>
    <w:qFormat/>
    <w:uiPriority w:val="0"/>
    <w:rPr>
      <w:b/>
      <w:bCs/>
      <w:sz w:val="16"/>
      <w:szCs w:val="16"/>
    </w:rPr>
  </w:style>
  <w:style w:type="paragraph" w:customStyle="1" w:styleId="25">
    <w:name w:val="table col subhead"/>
    <w:basedOn w:val="24"/>
    <w:uiPriority w:val="0"/>
    <w:rPr>
      <w:i/>
      <w:iCs/>
      <w:sz w:val="15"/>
      <w:szCs w:val="15"/>
    </w:rPr>
  </w:style>
  <w:style w:type="paragraph" w:customStyle="1" w:styleId="26">
    <w:name w:val="table copy"/>
    <w:uiPriority w:val="0"/>
    <w:pPr>
      <w:jc w:val="both"/>
    </w:pPr>
    <w:rPr>
      <w:rFonts w:ascii="Times New Roman" w:hAnsi="Times New Roman" w:eastAsia="SimSun" w:cs="Times New Roman"/>
      <w:sz w:val="16"/>
      <w:szCs w:val="16"/>
      <w:lang w:val="en-US" w:eastAsia="en-US" w:bidi="ar-SA"/>
    </w:rPr>
  </w:style>
  <w:style w:type="paragraph" w:customStyle="1" w:styleId="27">
    <w:name w:val="table footnote"/>
    <w:uiPriority w:val="0"/>
    <w:pPr>
      <w:numPr>
        <w:ilvl w:val="0"/>
        <w:numId w:val="6"/>
      </w:numPr>
      <w:spacing w:before="60" w:after="30"/>
      <w:ind w:left="58" w:hanging="29"/>
      <w:jc w:val="right"/>
    </w:pPr>
    <w:rPr>
      <w:rFonts w:ascii="Times New Roman" w:hAnsi="Times New Roman" w:eastAsia="SimSun" w:cs="Times New Roman"/>
      <w:sz w:val="12"/>
      <w:szCs w:val="12"/>
      <w:lang w:val="en-US" w:eastAsia="en-US" w:bidi="ar-SA"/>
    </w:rPr>
  </w:style>
  <w:style w:type="paragraph" w:customStyle="1" w:styleId="28">
    <w:name w:val="table head"/>
    <w:uiPriority w:val="0"/>
    <w:pPr>
      <w:numPr>
        <w:ilvl w:val="0"/>
        <w:numId w:val="7"/>
      </w:numPr>
      <w:spacing w:before="240" w:after="120" w:line="216" w:lineRule="auto"/>
      <w:jc w:val="center"/>
    </w:pPr>
    <w:rPr>
      <w:rFonts w:ascii="Times New Roman" w:hAnsi="Times New Roman" w:eastAsia="SimSun" w:cs="Times New Roman"/>
      <w:smallCaps/>
      <w:sz w:val="16"/>
      <w:szCs w:val="16"/>
      <w:lang w:val="en-US" w:eastAsia="en-US" w:bidi="ar-SA"/>
    </w:rPr>
  </w:style>
  <w:style w:type="paragraph" w:customStyle="1" w:styleId="29">
    <w:name w:val="Keywords"/>
    <w:basedOn w:val="12"/>
    <w:qFormat/>
    <w:uiPriority w:val="0"/>
    <w:pPr>
      <w:spacing w:after="120"/>
      <w:ind w:firstLine="274"/>
    </w:pPr>
    <w:rPr>
      <w:i/>
    </w:rPr>
  </w:style>
  <w:style w:type="character" w:customStyle="1" w:styleId="30">
    <w:name w:val="Header Char"/>
    <w:basedOn w:val="7"/>
    <w:link w:val="11"/>
    <w:uiPriority w:val="0"/>
  </w:style>
  <w:style w:type="character" w:customStyle="1" w:styleId="31">
    <w:name w:val="Footer Char"/>
    <w:basedOn w:val="7"/>
    <w:link w:val="10"/>
    <w:uiPriority w:val="0"/>
  </w:style>
  <w:style w:type="paragraph" w:styleId="32">
    <w:name w:val="No Spacing"/>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33">
    <w:name w:val="List Paragraph"/>
    <w:basedOn w:val="1"/>
    <w:qFormat/>
    <w:uiPriority w:val="34"/>
    <w:pPr>
      <w:ind w:left="1905" w:hanging="360"/>
      <w:jc w:val="both"/>
    </w:pPr>
  </w:style>
  <w:style w:type="table" w:customStyle="1" w:styleId="34">
    <w:name w:val="Plain Table 1"/>
    <w:basedOn w:val="8"/>
    <w:qFormat/>
    <w:uiPriority w:val="41"/>
    <w:rPr>
      <w:kern w:val="2"/>
      <w:sz w:val="22"/>
      <w:szCs w:val="22"/>
      <w:lang w:eastAsia="en-US"/>
      <w14:ligatures w14:val="standardContextual"/>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5">
    <w:name w:val="Grid Table Light"/>
    <w:basedOn w:val="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C7F-158E-4883-86A6-4454069232BB}">
  <ds:schemaRefs/>
</ds:datastoreItem>
</file>

<file path=docProps/app.xml><?xml version="1.0" encoding="utf-8"?>
<Properties xmlns="http://schemas.openxmlformats.org/officeDocument/2006/extended-properties" xmlns:vt="http://schemas.openxmlformats.org/officeDocument/2006/docPropsVTypes">
  <Template>Normal.dotm</Template>
  <Company>IEEE</Company>
  <Pages>3</Pages>
  <Words>2151</Words>
  <Characters>12267</Characters>
  <Lines>102</Lines>
  <Paragraphs>28</Paragraphs>
  <TotalTime>16</TotalTime>
  <ScaleCrop>false</ScaleCrop>
  <LinksUpToDate>false</LinksUpToDate>
  <CharactersWithSpaces>14390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2019-01-08T18:42:00Z</dcterms:created>
  <dc:creator>IEEE</dc:creator>
  <cp:lastModifiedBy>hp-pc</cp:lastModifiedBy>
  <dcterms:modified xsi:type="dcterms:W3CDTF">2024-03-23T14:52:49Z</dcterms:modified>
  <dc:title>Paper Title (use style: paper title)</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2057-12.2.0.13489</vt:lpwstr>
  </property>
  <property fmtid="{D5CDD505-2E9C-101B-9397-08002B2CF9AE}" pid="3" name="ICV">
    <vt:lpwstr>B20D308ACD51439A9D07BF69A966CD48_13</vt:lpwstr>
  </property>
</Properties>
</file>