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5BA" w:rsidRDefault="00D605BA" w:rsidP="00D605BA">
      <w:pPr>
        <w:jc w:val="center"/>
        <w:rPr>
          <w:b/>
          <w:color w:val="000000" w:themeColor="text1"/>
          <w:sz w:val="28"/>
          <w:szCs w:val="28"/>
        </w:rPr>
      </w:pPr>
      <w:r>
        <w:rPr>
          <w:b/>
          <w:color w:val="000000" w:themeColor="text1"/>
          <w:sz w:val="28"/>
          <w:szCs w:val="28"/>
        </w:rPr>
        <w:t>A STUDY ON WORKING CAPITAL MANAGEMENT WITH REFERENCE TO WHEELS INDIA LIMITED</w:t>
      </w:r>
    </w:p>
    <w:p w:rsidR="00D605BA" w:rsidRDefault="00D605BA" w:rsidP="00D605BA">
      <w:pPr>
        <w:rPr>
          <w:b/>
          <w:color w:val="000000" w:themeColor="text1"/>
          <w:sz w:val="28"/>
          <w:szCs w:val="28"/>
        </w:rPr>
      </w:pPr>
    </w:p>
    <w:p w:rsidR="00D605BA" w:rsidRPr="00504B98" w:rsidRDefault="00D605BA" w:rsidP="002062D7">
      <w:pPr>
        <w:rPr>
          <w:rFonts w:asciiTheme="minorHAnsi" w:hAnsiTheme="minorHAnsi"/>
          <w:color w:val="000000" w:themeColor="text1"/>
          <w:sz w:val="28"/>
          <w:szCs w:val="28"/>
          <w:vertAlign w:val="superscript"/>
        </w:rPr>
      </w:pPr>
      <w:r>
        <w:rPr>
          <w:b/>
          <w:color w:val="000000" w:themeColor="text1"/>
          <w:sz w:val="28"/>
          <w:szCs w:val="28"/>
        </w:rPr>
        <w:t xml:space="preserve">                      </w:t>
      </w:r>
      <w:r w:rsidRPr="00504B98">
        <w:rPr>
          <w:b/>
          <w:color w:val="000000" w:themeColor="text1"/>
          <w:sz w:val="28"/>
          <w:szCs w:val="28"/>
        </w:rPr>
        <w:t xml:space="preserve"> </w:t>
      </w:r>
      <w:r w:rsidR="00504B98">
        <w:rPr>
          <w:b/>
          <w:color w:val="000000" w:themeColor="text1"/>
          <w:sz w:val="28"/>
          <w:szCs w:val="28"/>
        </w:rPr>
        <w:t xml:space="preserve">           </w:t>
      </w:r>
      <w:r w:rsidR="000870AE" w:rsidRPr="00504B98">
        <w:rPr>
          <w:b/>
          <w:color w:val="000000" w:themeColor="text1"/>
          <w:sz w:val="28"/>
          <w:szCs w:val="28"/>
        </w:rPr>
        <w:t>Dr. N.Venkateswaran</w:t>
      </w:r>
      <w:r w:rsidR="000870AE" w:rsidRPr="00504B98">
        <w:rPr>
          <w:b/>
          <w:color w:val="000000" w:themeColor="text1"/>
          <w:sz w:val="28"/>
          <w:szCs w:val="28"/>
          <w:vertAlign w:val="superscript"/>
        </w:rPr>
        <w:t xml:space="preserve">1 </w:t>
      </w:r>
      <w:r w:rsidR="00A50D9D">
        <w:rPr>
          <w:b/>
          <w:color w:val="000000" w:themeColor="text1"/>
          <w:sz w:val="28"/>
          <w:szCs w:val="28"/>
        </w:rPr>
        <w:t>, A.</w:t>
      </w:r>
      <w:r w:rsidR="000870AE" w:rsidRPr="00504B98">
        <w:rPr>
          <w:b/>
          <w:color w:val="000000" w:themeColor="text1"/>
          <w:sz w:val="28"/>
          <w:szCs w:val="28"/>
        </w:rPr>
        <w:t>Varshinee</w:t>
      </w:r>
      <w:r w:rsidR="000870AE" w:rsidRPr="00504B98">
        <w:rPr>
          <w:b/>
          <w:color w:val="000000" w:themeColor="text1"/>
          <w:sz w:val="28"/>
          <w:szCs w:val="28"/>
          <w:vertAlign w:val="superscript"/>
        </w:rPr>
        <w:t>2</w:t>
      </w:r>
    </w:p>
    <w:p w:rsidR="00D605BA" w:rsidRPr="00504B98" w:rsidRDefault="00D605BA" w:rsidP="00D605BA">
      <w:pPr>
        <w:rPr>
          <w:rFonts w:asciiTheme="minorHAnsi" w:hAnsiTheme="minorHAnsi"/>
          <w:color w:val="000000" w:themeColor="text1"/>
          <w:sz w:val="28"/>
          <w:szCs w:val="28"/>
        </w:rPr>
      </w:pPr>
      <w:r w:rsidRPr="00504B98">
        <w:rPr>
          <w:rFonts w:asciiTheme="minorHAnsi" w:hAnsiTheme="minorHAnsi"/>
          <w:i/>
          <w:color w:val="000000" w:themeColor="text1"/>
          <w:sz w:val="28"/>
          <w:szCs w:val="28"/>
        </w:rPr>
        <w:t xml:space="preserve">                          </w:t>
      </w:r>
    </w:p>
    <w:p w:rsidR="000870AE" w:rsidRPr="00504B98" w:rsidRDefault="00504B98" w:rsidP="00504B98">
      <w:pPr>
        <w:pStyle w:val="ListParagraph"/>
        <w:ind w:left="960"/>
        <w:rPr>
          <w:rFonts w:asciiTheme="minorHAnsi" w:hAnsiTheme="minorHAnsi"/>
          <w:i/>
          <w:color w:val="000000" w:themeColor="text1"/>
          <w:sz w:val="28"/>
          <w:szCs w:val="28"/>
        </w:rPr>
      </w:pPr>
      <w:r w:rsidRPr="00504B98">
        <w:rPr>
          <w:rFonts w:asciiTheme="minorHAnsi" w:hAnsiTheme="minorHAnsi"/>
          <w:i/>
          <w:color w:val="000000" w:themeColor="text1"/>
          <w:sz w:val="28"/>
          <w:szCs w:val="28"/>
          <w:vertAlign w:val="superscript"/>
        </w:rPr>
        <w:t>1</w:t>
      </w:r>
      <w:r w:rsidR="000870AE" w:rsidRPr="00504B98">
        <w:rPr>
          <w:rFonts w:asciiTheme="minorHAnsi" w:hAnsiTheme="minorHAnsi"/>
          <w:i/>
          <w:color w:val="000000" w:themeColor="text1"/>
          <w:sz w:val="28"/>
          <w:szCs w:val="28"/>
        </w:rPr>
        <w:t xml:space="preserve">Master </w:t>
      </w:r>
      <w:r w:rsidRPr="00504B98">
        <w:rPr>
          <w:rFonts w:asciiTheme="minorHAnsi" w:hAnsiTheme="minorHAnsi"/>
          <w:i/>
          <w:color w:val="000000" w:themeColor="text1"/>
          <w:sz w:val="28"/>
          <w:szCs w:val="28"/>
        </w:rPr>
        <w:t>Of Business Administration &amp; Panimalar Engineering College</w:t>
      </w:r>
    </w:p>
    <w:p w:rsidR="00504B98" w:rsidRPr="00504B98" w:rsidRDefault="00504B98" w:rsidP="00504B98">
      <w:pPr>
        <w:ind w:left="600"/>
        <w:rPr>
          <w:rFonts w:asciiTheme="minorHAnsi" w:hAnsiTheme="minorHAnsi"/>
          <w:i/>
          <w:color w:val="000000" w:themeColor="text1"/>
          <w:sz w:val="28"/>
          <w:szCs w:val="28"/>
        </w:rPr>
      </w:pPr>
      <w:r>
        <w:rPr>
          <w:rFonts w:asciiTheme="minorHAnsi" w:hAnsiTheme="minorHAnsi"/>
          <w:i/>
          <w:color w:val="000000" w:themeColor="text1"/>
          <w:sz w:val="28"/>
          <w:szCs w:val="28"/>
        </w:rPr>
        <w:t xml:space="preserve">   </w:t>
      </w:r>
      <w:r w:rsidRPr="00504B98">
        <w:rPr>
          <w:rFonts w:asciiTheme="minorHAnsi" w:hAnsiTheme="minorHAnsi"/>
          <w:i/>
          <w:color w:val="000000" w:themeColor="text1"/>
          <w:sz w:val="28"/>
          <w:szCs w:val="28"/>
        </w:rPr>
        <w:t xml:space="preserve">  </w:t>
      </w:r>
      <w:r w:rsidRPr="00504B98">
        <w:rPr>
          <w:rFonts w:asciiTheme="minorHAnsi" w:hAnsiTheme="minorHAnsi"/>
          <w:i/>
          <w:color w:val="000000" w:themeColor="text1"/>
          <w:sz w:val="28"/>
          <w:szCs w:val="28"/>
          <w:vertAlign w:val="superscript"/>
        </w:rPr>
        <w:t>2</w:t>
      </w:r>
      <w:r w:rsidRPr="00504B98">
        <w:rPr>
          <w:rFonts w:asciiTheme="minorHAnsi" w:hAnsiTheme="minorHAnsi"/>
          <w:i/>
          <w:color w:val="000000" w:themeColor="text1"/>
          <w:sz w:val="28"/>
          <w:szCs w:val="28"/>
        </w:rPr>
        <w:t>Master Of Business Administration &amp; Panimalar Engineering College</w:t>
      </w:r>
    </w:p>
    <w:p w:rsidR="00080D74" w:rsidRDefault="000870AE">
      <w:r>
        <w:t xml:space="preserve">              </w:t>
      </w:r>
    </w:p>
    <w:p w:rsidR="00D605BA" w:rsidRPr="00E848F5" w:rsidRDefault="00E848F5" w:rsidP="0023769F">
      <w:pPr>
        <w:jc w:val="both"/>
        <w:rPr>
          <w:b/>
        </w:rPr>
      </w:pPr>
      <w:r w:rsidRPr="00E848F5">
        <w:rPr>
          <w:b/>
        </w:rPr>
        <w:t>ABSTRACT</w:t>
      </w:r>
    </w:p>
    <w:p w:rsidR="00D605BA" w:rsidRDefault="00D605BA" w:rsidP="0023769F">
      <w:pPr>
        <w:jc w:val="both"/>
      </w:pPr>
    </w:p>
    <w:p w:rsidR="00D605BA" w:rsidRDefault="00D605BA" w:rsidP="0023769F">
      <w:pPr>
        <w:spacing w:line="360" w:lineRule="auto"/>
        <w:jc w:val="both"/>
      </w:pPr>
      <w:r w:rsidRPr="004E7A9E">
        <w:t>This study delves into the critical aspect of working capital management within Wheels India Limited, aiming to optimize its efficiency and effectiveness. Through an extensive analysis of financial data, including data, including liquidity ratios, cash conversion cycle and operating cycle, this research assesses the current state of working capital management. Additionally qualitative insights are gathered through interviews and surveys with key stakeholders to understand the oraganization’s</w:t>
      </w:r>
      <w:r>
        <w:t xml:space="preserve"> </w:t>
      </w:r>
      <w:r w:rsidRPr="004E7A9E">
        <w:t xml:space="preserve"> current practices and challenges, and opportunities. The study identifies areas for improvement and possess strategic recommendations to enhance working capital management practices, thereby fostering financial stability, liquidity and operational efficiency within an organization. Effective working capital management is crucial for the financial health and sustainability of any organization. Additionally, the role of technology and data analytics in streamlining working capital processes and improving decision-making. By implementing sound working capital management practices, businesses can enhance liquidity, minimize financial risks and maximize profitability in both short and long term.</w:t>
      </w:r>
      <w:r>
        <w:t xml:space="preserve"> By adopting a strategic approach to working capital management businesses can achieve sustainable growth, strengthen their financial position and capitalize on opportunities for expansion and investment.</w:t>
      </w:r>
    </w:p>
    <w:p w:rsidR="00E848F5" w:rsidRDefault="00E848F5" w:rsidP="0023769F">
      <w:pPr>
        <w:spacing w:line="360" w:lineRule="auto"/>
        <w:jc w:val="both"/>
      </w:pPr>
    </w:p>
    <w:p w:rsidR="00E848F5" w:rsidRDefault="00E848F5" w:rsidP="0023769F">
      <w:pPr>
        <w:spacing w:line="360" w:lineRule="auto"/>
        <w:jc w:val="both"/>
        <w:rPr>
          <w:b/>
          <w:i/>
        </w:rPr>
      </w:pPr>
      <w:r w:rsidRPr="00796C2A">
        <w:rPr>
          <w:b/>
          <w:i/>
        </w:rPr>
        <w:t xml:space="preserve">Keywords: Working capital Management, Effectiveness, Efficiency, </w:t>
      </w:r>
      <w:r w:rsidR="00796C2A" w:rsidRPr="00796C2A">
        <w:rPr>
          <w:b/>
          <w:i/>
        </w:rPr>
        <w:t>Opportunities, Short-term and Long-term funds.</w:t>
      </w:r>
    </w:p>
    <w:p w:rsidR="002F72FD" w:rsidRDefault="002F72FD" w:rsidP="0023769F">
      <w:pPr>
        <w:tabs>
          <w:tab w:val="left" w:pos="1575"/>
        </w:tabs>
        <w:spacing w:after="160" w:line="259" w:lineRule="auto"/>
        <w:jc w:val="both"/>
      </w:pPr>
    </w:p>
    <w:p w:rsidR="00796C2A" w:rsidRPr="002F72FD" w:rsidRDefault="002F72FD" w:rsidP="0023769F">
      <w:pPr>
        <w:tabs>
          <w:tab w:val="left" w:pos="1575"/>
        </w:tabs>
        <w:spacing w:after="160" w:line="259" w:lineRule="auto"/>
        <w:jc w:val="both"/>
        <w:rPr>
          <w:b/>
          <w:sz w:val="28"/>
          <w:szCs w:val="28"/>
        </w:rPr>
      </w:pPr>
      <w:r>
        <w:rPr>
          <w:b/>
          <w:sz w:val="28"/>
          <w:szCs w:val="28"/>
        </w:rPr>
        <w:t>I.</w:t>
      </w:r>
      <w:r w:rsidR="00504B98">
        <w:rPr>
          <w:b/>
          <w:sz w:val="28"/>
          <w:szCs w:val="28"/>
        </w:rPr>
        <w:t xml:space="preserve"> </w:t>
      </w:r>
      <w:r w:rsidR="00EC4F05" w:rsidRPr="00EC4F05">
        <w:rPr>
          <w:b/>
        </w:rPr>
        <w:t>INTRODUCTION</w:t>
      </w:r>
    </w:p>
    <w:p w:rsidR="00796C2A" w:rsidRDefault="00796C2A" w:rsidP="0023769F">
      <w:pPr>
        <w:tabs>
          <w:tab w:val="left" w:pos="1575"/>
        </w:tabs>
        <w:spacing w:line="360" w:lineRule="auto"/>
        <w:jc w:val="both"/>
      </w:pPr>
      <w:r w:rsidRPr="002C4548">
        <w:t xml:space="preserve">Working capital refers </w:t>
      </w:r>
      <w:r>
        <w:t xml:space="preserve">to the part of capital which is available and used for carrying on the regular business operations. Simply it refers to capital which is required for the day to day running of the business. The important components of the working capital are current assets and current liabilities. Current assets are those which can be converted into cash with in on accounting year. It includes cash, bank debtors, bills receivables, short term loans and </w:t>
      </w:r>
      <w:r>
        <w:lastRenderedPageBreak/>
        <w:t>advances, prepaid expenses and money receivable with in twelve months. Current liabilities they can be trade within one year. It includes creditors, bills payables, bank overdrafts, short term borrowings, dividend payable, provident fund due, outstanding expenses and other payments which are due within one year.</w:t>
      </w:r>
    </w:p>
    <w:p w:rsidR="00796C2A" w:rsidRDefault="00796C2A" w:rsidP="0023769F">
      <w:pPr>
        <w:tabs>
          <w:tab w:val="left" w:pos="1575"/>
        </w:tabs>
        <w:spacing w:line="360" w:lineRule="auto"/>
        <w:jc w:val="both"/>
      </w:pPr>
      <w:r>
        <w:t xml:space="preserve">      Today every management is interested to know about their financial strength in order to make best use of available resources and sort out its weaknesses to initiate and adopt suitable corrective actions to improve its industrial operations in terms of solvency, efficiency and profitability. Capital is what creates a business, and no business run without adequate capital to meet short term and long term needs. Companies are concentrating more to gain liquidity from the traditional sources of external financing working capital is a tool for operating.</w:t>
      </w:r>
    </w:p>
    <w:p w:rsidR="002F72FD" w:rsidRDefault="00796C2A" w:rsidP="0023769F">
      <w:pPr>
        <w:tabs>
          <w:tab w:val="left" w:pos="1575"/>
        </w:tabs>
        <w:spacing w:line="360" w:lineRule="auto"/>
        <w:jc w:val="both"/>
      </w:pPr>
      <w:r>
        <w:t xml:space="preserve">      Any firm, from to time, employs its short-term assets as well as short term financing source to carry out its day to day business. Its is this management of such assets as well as liabilities which is described as working capital management. Working capital management is a quiet essential part of financial management as a subject. It can also be compared with long-term decision making the process as both of the domains deal with the analysis of risk and profitability.</w:t>
      </w:r>
      <w:r w:rsidR="00504B98">
        <w:t xml:space="preserve"> </w:t>
      </w:r>
      <w:r w:rsidR="002F72FD">
        <w:t>A study of working capital is major important to internal and external analysis, because of close relationship with the day to day operations of a business. Working capital is that portion of the assets of a business, which are used in or related liabilities. Every nosiness needs funds for purpose for its establishment and to carry out its day to day operations.</w:t>
      </w:r>
    </w:p>
    <w:p w:rsidR="002F72FD" w:rsidRDefault="002F72FD" w:rsidP="0023769F">
      <w:pPr>
        <w:pStyle w:val="ListParagraph"/>
        <w:numPr>
          <w:ilvl w:val="0"/>
          <w:numId w:val="3"/>
        </w:numPr>
        <w:tabs>
          <w:tab w:val="left" w:pos="1575"/>
        </w:tabs>
        <w:spacing w:after="160" w:line="360" w:lineRule="auto"/>
        <w:jc w:val="both"/>
      </w:pPr>
      <w:r>
        <w:t xml:space="preserve">Long term funds </w:t>
      </w:r>
    </w:p>
    <w:p w:rsidR="00796C2A" w:rsidRDefault="002F72FD" w:rsidP="0023769F">
      <w:pPr>
        <w:pStyle w:val="ListParagraph"/>
        <w:numPr>
          <w:ilvl w:val="0"/>
          <w:numId w:val="3"/>
        </w:numPr>
        <w:tabs>
          <w:tab w:val="left" w:pos="1575"/>
        </w:tabs>
        <w:spacing w:after="160" w:line="360" w:lineRule="auto"/>
        <w:jc w:val="both"/>
      </w:pPr>
      <w:r>
        <w:t>Short term funds</w:t>
      </w:r>
    </w:p>
    <w:p w:rsidR="003258D8" w:rsidRPr="003258D8" w:rsidRDefault="000C05BF" w:rsidP="0023769F">
      <w:pPr>
        <w:spacing w:line="360" w:lineRule="auto"/>
        <w:jc w:val="both"/>
      </w:pPr>
      <w:r w:rsidRPr="003258D8">
        <w:rPr>
          <w:b/>
        </w:rPr>
        <w:t>II</w:t>
      </w:r>
      <w:r w:rsidR="00EC4F05" w:rsidRPr="003258D8">
        <w:rPr>
          <w:b/>
        </w:rPr>
        <w:t>.REVIEW OF LITERATURE</w:t>
      </w:r>
    </w:p>
    <w:p w:rsidR="00504B98" w:rsidRDefault="00504B98" w:rsidP="0023769F">
      <w:pPr>
        <w:spacing w:line="360" w:lineRule="auto"/>
        <w:jc w:val="both"/>
      </w:pPr>
    </w:p>
    <w:p w:rsidR="003258D8" w:rsidRDefault="003258D8" w:rsidP="0023769F">
      <w:pPr>
        <w:spacing w:line="360" w:lineRule="auto"/>
        <w:jc w:val="both"/>
      </w:pPr>
      <w:r>
        <w:rPr>
          <w:bCs/>
        </w:rPr>
        <w:t xml:space="preserve"> </w:t>
      </w:r>
      <w:r w:rsidRPr="003258D8">
        <w:rPr>
          <w:bCs/>
        </w:rPr>
        <w:t>Sushma Vishnani, Bhupesh Kr Shah, 2023.</w:t>
      </w:r>
      <w:r w:rsidRPr="004620DA">
        <w:t>The focus lies on how a company's working capital management policies affect its profitability. Traditionally, companies tend to adjust their working capital size relative to sales volume to balance between risk and liquidity. However, this adjustment can impact sales volume and profitability. The study employs correlation and regression analysis to examine the relationship between profitability ratios and key working capital policy indicators</w:t>
      </w:r>
      <w:r>
        <w:t>.</w:t>
      </w:r>
    </w:p>
    <w:p w:rsidR="003258D8" w:rsidRDefault="003258D8" w:rsidP="0023769F">
      <w:pPr>
        <w:spacing w:line="360" w:lineRule="auto"/>
        <w:jc w:val="both"/>
      </w:pPr>
      <w:r>
        <w:rPr>
          <w:bCs/>
        </w:rPr>
        <w:t xml:space="preserve"> </w:t>
      </w:r>
      <w:r w:rsidRPr="003258D8">
        <w:rPr>
          <w:bCs/>
        </w:rPr>
        <w:t>Sunday Ajao Owolabi</w:t>
      </w:r>
      <w:r w:rsidR="005331AF">
        <w:rPr>
          <w:bCs/>
        </w:rPr>
        <w:t>, Sunday Adebayo Alayemi, 2022</w:t>
      </w:r>
      <w:r w:rsidRPr="003258D8">
        <w:rPr>
          <w:bCs/>
        </w:rPr>
        <w:t>.</w:t>
      </w:r>
      <w:r>
        <w:t>This study is about t</w:t>
      </w:r>
      <w:r w:rsidRPr="004620DA">
        <w:t xml:space="preserve">he impact of working capital management on gross profit movement coefficient. They find a negative correlation between current ratio and profitability, suggesting that reducing current ratio can </w:t>
      </w:r>
      <w:r w:rsidRPr="004620DA">
        <w:lastRenderedPageBreak/>
        <w:t>lead to increased profitability. The study advocates for aggressive working capital management to enhance profitability</w:t>
      </w:r>
      <w:r>
        <w:t>.</w:t>
      </w:r>
    </w:p>
    <w:p w:rsidR="00504B98" w:rsidRDefault="003258D8" w:rsidP="0023769F">
      <w:pPr>
        <w:spacing w:line="360" w:lineRule="auto"/>
        <w:jc w:val="both"/>
      </w:pPr>
      <w:r w:rsidRPr="005331AF">
        <w:rPr>
          <w:bCs/>
        </w:rPr>
        <w:t>Daniel Kamau, Amos Ayuo, 2021</w:t>
      </w:r>
      <w:r w:rsidR="005331AF" w:rsidRPr="005331AF">
        <w:rPr>
          <w:bCs/>
        </w:rPr>
        <w:t>.</w:t>
      </w:r>
      <w:r w:rsidR="005331AF" w:rsidRPr="00F96E9A">
        <w:t xml:space="preserve">This study was to </w:t>
      </w:r>
      <w:r w:rsidR="005331AF" w:rsidRPr="004620DA">
        <w:t>investigate to explore the relationship between working capital management and organizational performance in manufacturing firms in Kenya. The study employs correlation and regression analysis using cash conversion cycle, current assets to total assets, and current liabilities to total assets as measures of working capital management</w:t>
      </w:r>
      <w:r w:rsidR="005331AF">
        <w:t>.</w:t>
      </w:r>
    </w:p>
    <w:p w:rsidR="00504B98" w:rsidRPr="00504B98" w:rsidRDefault="005331AF" w:rsidP="0023769F">
      <w:pPr>
        <w:spacing w:line="360" w:lineRule="auto"/>
        <w:jc w:val="both"/>
      </w:pPr>
      <w:r w:rsidRPr="005331AF">
        <w:rPr>
          <w:bCs/>
        </w:rPr>
        <w:t>Vincent Makau, Mwanzia M Stephen, 2021.</w:t>
      </w:r>
      <w:r w:rsidRPr="00F96E9A">
        <w:t xml:space="preserve">This study was to examine </w:t>
      </w:r>
      <w:r w:rsidRPr="004620DA">
        <w:t>the effect of working capital management on the financial performance of manufacturing firms listed on the Nairobi Securities Exchange in 2021. Using descriptive research design, the study analyzes the effects of average collection period and leverage on firm performance measured by Return on Assets (ROA).</w:t>
      </w:r>
    </w:p>
    <w:p w:rsidR="005331AF" w:rsidRPr="005331AF" w:rsidRDefault="005331AF" w:rsidP="0023769F">
      <w:pPr>
        <w:spacing w:line="360" w:lineRule="auto"/>
        <w:jc w:val="both"/>
        <w:rPr>
          <w:b/>
          <w:bCs/>
        </w:rPr>
      </w:pPr>
      <w:r w:rsidRPr="005331AF">
        <w:rPr>
          <w:bCs/>
        </w:rPr>
        <w:t>Rao Govind and Rao P.M, 2020.</w:t>
      </w:r>
      <w:r w:rsidRPr="00F96E9A">
        <w:t>This study focuses on the operation of working capital is a constant process. The need of finance proper observation or monitoring and revising the relationship of all variables and give conclusion. This is a proper suggestion to the director.</w:t>
      </w:r>
      <w:r>
        <w:t xml:space="preserve"> </w:t>
      </w:r>
      <w:r w:rsidRPr="004620DA">
        <w:t>They examine the case of the Himachal Pradesh Horticulture Produce Marketing And Processing Corporation and suggest improvements in working capital management to balance liquidity and profitability.</w:t>
      </w:r>
    </w:p>
    <w:p w:rsidR="00504B98" w:rsidRDefault="005331AF" w:rsidP="0023769F">
      <w:pPr>
        <w:spacing w:line="360" w:lineRule="auto"/>
        <w:jc w:val="both"/>
      </w:pPr>
      <w:r w:rsidRPr="005331AF">
        <w:rPr>
          <w:bCs/>
        </w:rPr>
        <w:t>David Mathuva, 2020.</w:t>
      </w:r>
      <w:r w:rsidRPr="00F96E9A">
        <w:t>This study examined the influence of working capital management components on corporate profitability. A sample of 30 firms listed on the Nairobi Stock Exchange (NSE) for the periods 1993 to 2008 was used. Both the pooled OLS and the fixed effects regression models were used. The key findings from the study were there exists a highly significant negative relationship between the time it takes for firms to collect cash from their customers</w:t>
      </w:r>
      <w:r>
        <w:t>.</w:t>
      </w:r>
    </w:p>
    <w:p w:rsidR="009B16A7" w:rsidRDefault="005331AF" w:rsidP="0023769F">
      <w:pPr>
        <w:spacing w:line="360" w:lineRule="auto"/>
        <w:jc w:val="both"/>
      </w:pPr>
      <w:r w:rsidRPr="005331AF">
        <w:rPr>
          <w:bCs/>
        </w:rPr>
        <w:t>Greg Filbeck, 2019.</w:t>
      </w:r>
      <w:r w:rsidRPr="00F96E9A">
        <w:t>This study is about firms are able to reduce financing costs and/or increase the funds available for expansion by minimizing theamount of funds tied up in current assets. We provide insights into the performance of surveyed firms across keycomponents of working capital management by using the CFO magazine’s annual Working Capital Management Survey. We discover that significant differences exist between industries in working capital measures across time. In addition, we discover that these measures for working capital change significantly within industries across time.</w:t>
      </w:r>
    </w:p>
    <w:p w:rsidR="009B16A7" w:rsidRDefault="009B16A7" w:rsidP="0023769F">
      <w:pPr>
        <w:jc w:val="both"/>
      </w:pPr>
    </w:p>
    <w:p w:rsidR="009B16A7" w:rsidRDefault="009B16A7" w:rsidP="0023769F">
      <w:pPr>
        <w:jc w:val="both"/>
      </w:pPr>
    </w:p>
    <w:p w:rsidR="00504B98" w:rsidRDefault="00504B98" w:rsidP="0023769F">
      <w:pPr>
        <w:jc w:val="both"/>
        <w:rPr>
          <w:b/>
        </w:rPr>
      </w:pPr>
    </w:p>
    <w:p w:rsidR="00504B98" w:rsidRDefault="00504B98" w:rsidP="0023769F">
      <w:pPr>
        <w:jc w:val="both"/>
        <w:rPr>
          <w:b/>
        </w:rPr>
      </w:pPr>
    </w:p>
    <w:p w:rsidR="007D4BE8" w:rsidRDefault="005331AF" w:rsidP="0023769F">
      <w:pPr>
        <w:jc w:val="both"/>
        <w:rPr>
          <w:b/>
        </w:rPr>
      </w:pPr>
      <w:r w:rsidRPr="005331AF">
        <w:rPr>
          <w:b/>
        </w:rPr>
        <w:lastRenderedPageBreak/>
        <w:t xml:space="preserve">III. </w:t>
      </w:r>
      <w:r w:rsidR="00EC4F05">
        <w:rPr>
          <w:b/>
        </w:rPr>
        <w:t>NEED</w:t>
      </w:r>
      <w:r w:rsidR="00EC4F05" w:rsidRPr="005331AF">
        <w:rPr>
          <w:b/>
        </w:rPr>
        <w:t xml:space="preserve"> OF THE STUDY </w:t>
      </w:r>
    </w:p>
    <w:p w:rsidR="007D4BE8" w:rsidRDefault="007D4BE8" w:rsidP="0023769F">
      <w:pPr>
        <w:jc w:val="both"/>
        <w:rPr>
          <w:b/>
        </w:rPr>
      </w:pPr>
    </w:p>
    <w:p w:rsidR="007D4BE8" w:rsidRDefault="007D4BE8" w:rsidP="0023769F">
      <w:pPr>
        <w:pStyle w:val="ListParagraph"/>
        <w:numPr>
          <w:ilvl w:val="0"/>
          <w:numId w:val="6"/>
        </w:numPr>
        <w:spacing w:line="360" w:lineRule="auto"/>
        <w:jc w:val="both"/>
      </w:pPr>
      <w:r w:rsidRPr="00760A78">
        <w:t>To study the management for expanding the dualism and the project viability and</w:t>
      </w:r>
      <w:r>
        <w:t xml:space="preserve"> present availability of funds.</w:t>
      </w:r>
      <w:r w:rsidRPr="00760A78">
        <w:t xml:space="preserve"> </w:t>
      </w:r>
    </w:p>
    <w:p w:rsidR="007D4BE8" w:rsidRDefault="007D4BE8" w:rsidP="0023769F">
      <w:pPr>
        <w:pStyle w:val="ListParagraph"/>
        <w:numPr>
          <w:ilvl w:val="0"/>
          <w:numId w:val="6"/>
        </w:numPr>
        <w:spacing w:line="360" w:lineRule="auto"/>
        <w:jc w:val="both"/>
      </w:pPr>
      <w:r w:rsidRPr="00760A78">
        <w:t>To focus on the companies present year data with the previous year data and ther</w:t>
      </w:r>
      <w:r>
        <w:t>eby it show the trend analysis.</w:t>
      </w:r>
      <w:r w:rsidRPr="00760A78">
        <w:t xml:space="preserve"> </w:t>
      </w:r>
    </w:p>
    <w:p w:rsidR="007D4BE8" w:rsidRDefault="007D4BE8" w:rsidP="0023769F">
      <w:pPr>
        <w:pStyle w:val="ListParagraph"/>
        <w:numPr>
          <w:ilvl w:val="0"/>
          <w:numId w:val="6"/>
        </w:numPr>
        <w:spacing w:line="360" w:lineRule="auto"/>
        <w:jc w:val="both"/>
      </w:pPr>
      <w:r w:rsidRPr="00760A78">
        <w:t>To help in further expansion deci</w:t>
      </w:r>
      <w:r>
        <w:t xml:space="preserve">sion to be taken by management. </w:t>
      </w:r>
      <w:r w:rsidRPr="00760A78">
        <w:t>To make suggestion for policy makers for effective management of working capital.</w:t>
      </w:r>
    </w:p>
    <w:p w:rsidR="007D4BE8" w:rsidRDefault="007D4BE8" w:rsidP="0023769F">
      <w:pPr>
        <w:pStyle w:val="ListParagraph"/>
        <w:numPr>
          <w:ilvl w:val="0"/>
          <w:numId w:val="6"/>
        </w:numPr>
        <w:spacing w:line="360" w:lineRule="auto"/>
        <w:jc w:val="both"/>
      </w:pPr>
      <w:r w:rsidRPr="00F64661">
        <w:t xml:space="preserve">By managing working capital effectively, a company can reduce its reliance on costly short-term financing options like overdrafts or short-term loans. </w:t>
      </w:r>
    </w:p>
    <w:p w:rsidR="007D4BE8" w:rsidRDefault="007D4BE8" w:rsidP="0023769F">
      <w:pPr>
        <w:pStyle w:val="ListParagraph"/>
        <w:numPr>
          <w:ilvl w:val="0"/>
          <w:numId w:val="6"/>
        </w:numPr>
        <w:spacing w:line="360" w:lineRule="auto"/>
        <w:jc w:val="both"/>
      </w:pPr>
      <w:r w:rsidRPr="00F64661">
        <w:t>This helps in minimizing interest expenses and improves overall profitability</w:t>
      </w:r>
      <w:r>
        <w:t>.</w:t>
      </w:r>
    </w:p>
    <w:p w:rsidR="009B16A7" w:rsidRDefault="009B16A7" w:rsidP="0023769F">
      <w:pPr>
        <w:spacing w:line="360" w:lineRule="auto"/>
        <w:jc w:val="both"/>
      </w:pPr>
    </w:p>
    <w:p w:rsidR="009B16A7" w:rsidRPr="009B16A7" w:rsidRDefault="009B16A7" w:rsidP="0023769F">
      <w:pPr>
        <w:spacing w:line="360" w:lineRule="auto"/>
        <w:jc w:val="both"/>
        <w:rPr>
          <w:b/>
        </w:rPr>
      </w:pPr>
      <w:r w:rsidRPr="009B16A7">
        <w:rPr>
          <w:b/>
        </w:rPr>
        <w:t xml:space="preserve">IV. </w:t>
      </w:r>
      <w:r w:rsidR="00EC4F05" w:rsidRPr="009B16A7">
        <w:rPr>
          <w:b/>
        </w:rPr>
        <w:t>OBJECTIVES OF THE STUDY</w:t>
      </w:r>
    </w:p>
    <w:p w:rsidR="009B16A7" w:rsidRPr="00F13A85" w:rsidRDefault="009B16A7" w:rsidP="0023769F">
      <w:pPr>
        <w:spacing w:line="360" w:lineRule="auto"/>
        <w:jc w:val="both"/>
      </w:pPr>
      <w:r w:rsidRPr="00F13A85">
        <w:rPr>
          <w:b/>
          <w:bCs/>
        </w:rPr>
        <w:t>A)</w:t>
      </w:r>
      <w:r>
        <w:rPr>
          <w:b/>
          <w:bCs/>
        </w:rPr>
        <w:t xml:space="preserve"> </w:t>
      </w:r>
      <w:r w:rsidRPr="00F13A85">
        <w:rPr>
          <w:b/>
          <w:bCs/>
        </w:rPr>
        <w:t xml:space="preserve">Primary Objective: </w:t>
      </w:r>
    </w:p>
    <w:p w:rsidR="009B16A7" w:rsidRPr="00F13A85" w:rsidRDefault="009B16A7" w:rsidP="0023769F">
      <w:pPr>
        <w:spacing w:line="360" w:lineRule="auto"/>
        <w:jc w:val="both"/>
      </w:pPr>
      <w:r w:rsidRPr="00F13A85">
        <w:t xml:space="preserve">1. To study about the working capital management in Wheels India Limited. </w:t>
      </w:r>
    </w:p>
    <w:p w:rsidR="009B16A7" w:rsidRPr="00F13A85" w:rsidRDefault="009B16A7" w:rsidP="0023769F">
      <w:pPr>
        <w:spacing w:line="360" w:lineRule="auto"/>
        <w:jc w:val="both"/>
        <w:rPr>
          <w:b/>
          <w:bCs/>
        </w:rPr>
      </w:pPr>
      <w:r w:rsidRPr="00F13A85">
        <w:rPr>
          <w:b/>
          <w:bCs/>
        </w:rPr>
        <w:t>B) Secondary objectives:</w:t>
      </w:r>
    </w:p>
    <w:p w:rsidR="009B16A7" w:rsidRPr="00F13A85" w:rsidRDefault="009B16A7" w:rsidP="0023769F">
      <w:pPr>
        <w:spacing w:line="360" w:lineRule="auto"/>
        <w:jc w:val="both"/>
      </w:pPr>
      <w:r w:rsidRPr="00F13A85">
        <w:t xml:space="preserve">2. To ensure efficient management cash flows to meet short-term obligations without </w:t>
      </w:r>
      <w:r>
        <w:t xml:space="preserve">     </w:t>
      </w:r>
      <w:r w:rsidRPr="00F13A85">
        <w:t xml:space="preserve">excessive idle cash. </w:t>
      </w:r>
    </w:p>
    <w:p w:rsidR="009B16A7" w:rsidRPr="00F13A85" w:rsidRDefault="009B16A7" w:rsidP="0023769F">
      <w:pPr>
        <w:spacing w:line="360" w:lineRule="auto"/>
        <w:jc w:val="both"/>
      </w:pPr>
      <w:r w:rsidRPr="00F13A85">
        <w:t xml:space="preserve">3. To maintain an optimal cash balance to meet daily operational needs. </w:t>
      </w:r>
    </w:p>
    <w:p w:rsidR="009B16A7" w:rsidRPr="00F13A85" w:rsidRDefault="009B16A7" w:rsidP="0023769F">
      <w:pPr>
        <w:spacing w:line="360" w:lineRule="auto"/>
        <w:jc w:val="both"/>
      </w:pPr>
      <w:r w:rsidRPr="00F13A85">
        <w:t xml:space="preserve">4. To minimize stock out and ensure product availability to meet customer demand. </w:t>
      </w:r>
    </w:p>
    <w:p w:rsidR="009B16A7" w:rsidRPr="00F13A85" w:rsidRDefault="009B16A7" w:rsidP="0023769F">
      <w:pPr>
        <w:spacing w:line="360" w:lineRule="auto"/>
        <w:jc w:val="both"/>
      </w:pPr>
      <w:r w:rsidRPr="00F13A85">
        <w:t xml:space="preserve">5. To establish clear and consistent invoicing procedures to avoid delays in payments. </w:t>
      </w:r>
    </w:p>
    <w:p w:rsidR="009B16A7" w:rsidRDefault="009B16A7" w:rsidP="0023769F">
      <w:pPr>
        <w:spacing w:line="360" w:lineRule="auto"/>
        <w:jc w:val="both"/>
      </w:pPr>
    </w:p>
    <w:p w:rsidR="009B16A7" w:rsidRPr="00E51D44" w:rsidRDefault="009B16A7" w:rsidP="0023769F">
      <w:pPr>
        <w:jc w:val="both"/>
        <w:rPr>
          <w:b/>
        </w:rPr>
      </w:pPr>
      <w:r w:rsidRPr="00E51D44">
        <w:rPr>
          <w:b/>
        </w:rPr>
        <w:t>V</w:t>
      </w:r>
      <w:r w:rsidR="00EC4F05" w:rsidRPr="00E51D44">
        <w:rPr>
          <w:b/>
        </w:rPr>
        <w:t>. RESEARCH METHODOLOGY</w:t>
      </w:r>
    </w:p>
    <w:p w:rsidR="00504B98" w:rsidRDefault="00504B98" w:rsidP="0023769F">
      <w:pPr>
        <w:spacing w:line="360" w:lineRule="auto"/>
        <w:jc w:val="both"/>
      </w:pPr>
    </w:p>
    <w:p w:rsidR="00E51D44" w:rsidRPr="00497053" w:rsidRDefault="00E51D44" w:rsidP="0023769F">
      <w:pPr>
        <w:spacing w:line="360" w:lineRule="auto"/>
        <w:jc w:val="both"/>
      </w:pPr>
      <w:r w:rsidRPr="00497053">
        <w:t>Research methodology is a way to systematically solve the research problem. It may be understood as a science of studying how research is done scientifically. In this we study the various steps that are generally adopted by a researcher problem along with the logic behind them. It is necessary for the researcher to know not only the research methods or techniques but also the methodology.</w:t>
      </w:r>
    </w:p>
    <w:p w:rsidR="007D4BE8" w:rsidRDefault="00E51D44" w:rsidP="0023769F">
      <w:pPr>
        <w:spacing w:line="360" w:lineRule="auto"/>
        <w:jc w:val="both"/>
        <w:rPr>
          <w:b/>
        </w:rPr>
      </w:pPr>
      <w:r w:rsidRPr="00497053">
        <w:t>The research methods are use in the context of our research study and explain why are using a particular methods or techniques and why we are not using so that the research results are capable of being evaluated either by the researcher himself or by others</w:t>
      </w:r>
      <w:r>
        <w:t>.</w:t>
      </w:r>
    </w:p>
    <w:p w:rsidR="00E51D44" w:rsidRDefault="00E51D44" w:rsidP="0023769F">
      <w:pPr>
        <w:tabs>
          <w:tab w:val="left" w:pos="7860"/>
        </w:tabs>
        <w:spacing w:line="360" w:lineRule="auto"/>
        <w:jc w:val="both"/>
        <w:rPr>
          <w:b/>
        </w:rPr>
      </w:pPr>
      <w:r>
        <w:rPr>
          <w:b/>
        </w:rPr>
        <w:tab/>
      </w:r>
    </w:p>
    <w:p w:rsidR="00504B98" w:rsidRDefault="00504B98" w:rsidP="0023769F">
      <w:pPr>
        <w:tabs>
          <w:tab w:val="left" w:pos="7860"/>
        </w:tabs>
        <w:spacing w:line="360" w:lineRule="auto"/>
        <w:jc w:val="both"/>
        <w:rPr>
          <w:b/>
        </w:rPr>
      </w:pPr>
    </w:p>
    <w:p w:rsidR="00504B98" w:rsidRDefault="00504B98" w:rsidP="0023769F">
      <w:pPr>
        <w:tabs>
          <w:tab w:val="left" w:pos="7860"/>
        </w:tabs>
        <w:spacing w:line="360" w:lineRule="auto"/>
        <w:jc w:val="both"/>
        <w:rPr>
          <w:b/>
        </w:rPr>
      </w:pPr>
    </w:p>
    <w:p w:rsidR="00E51D44" w:rsidRDefault="00E51D44" w:rsidP="0023769F">
      <w:pPr>
        <w:tabs>
          <w:tab w:val="left" w:pos="7860"/>
        </w:tabs>
        <w:spacing w:line="360" w:lineRule="auto"/>
        <w:jc w:val="both"/>
        <w:rPr>
          <w:b/>
        </w:rPr>
      </w:pPr>
      <w:r w:rsidRPr="00E51D44">
        <w:rPr>
          <w:b/>
        </w:rPr>
        <w:lastRenderedPageBreak/>
        <w:t xml:space="preserve">VI. </w:t>
      </w:r>
      <w:r w:rsidR="00EC4F05" w:rsidRPr="00E51D44">
        <w:rPr>
          <w:b/>
        </w:rPr>
        <w:t>ANALYSIS AND INTERPRETATION</w:t>
      </w:r>
    </w:p>
    <w:p w:rsidR="003F2F06" w:rsidRDefault="007D4BE8" w:rsidP="0023769F">
      <w:pPr>
        <w:tabs>
          <w:tab w:val="left" w:pos="7860"/>
        </w:tabs>
        <w:jc w:val="both"/>
        <w:rPr>
          <w:b/>
        </w:rPr>
      </w:pPr>
      <w:r w:rsidRPr="00E51D44">
        <w:rPr>
          <w:b/>
        </w:rPr>
        <w:br/>
      </w:r>
      <w:r w:rsidR="005331AF" w:rsidRPr="00E51D44">
        <w:rPr>
          <w:b/>
        </w:rPr>
        <w:t xml:space="preserve"> </w:t>
      </w:r>
      <w:r w:rsidR="003F2F06">
        <w:rPr>
          <w:b/>
        </w:rPr>
        <w:t>Table-1: Current Ratio</w:t>
      </w:r>
    </w:p>
    <w:p w:rsidR="003F2F06" w:rsidRDefault="003F2F06" w:rsidP="0023769F">
      <w:pPr>
        <w:tabs>
          <w:tab w:val="left" w:pos="7860"/>
        </w:tabs>
        <w:jc w:val="both"/>
        <w:rPr>
          <w:b/>
        </w:rPr>
      </w:pPr>
      <w:r>
        <w:rPr>
          <w:b/>
        </w:rPr>
        <w:t xml:space="preserve"> </w:t>
      </w:r>
    </w:p>
    <w:tbl>
      <w:tblPr>
        <w:tblStyle w:val="TableGrid"/>
        <w:tblW w:w="0" w:type="auto"/>
        <w:tblLook w:val="04A0" w:firstRow="1" w:lastRow="0" w:firstColumn="1" w:lastColumn="0" w:noHBand="0" w:noVBand="1"/>
      </w:tblPr>
      <w:tblGrid>
        <w:gridCol w:w="2254"/>
        <w:gridCol w:w="2254"/>
        <w:gridCol w:w="2254"/>
        <w:gridCol w:w="2254"/>
      </w:tblGrid>
      <w:tr w:rsidR="003F2F06" w:rsidTr="00585ADC">
        <w:tc>
          <w:tcPr>
            <w:tcW w:w="2254" w:type="dxa"/>
          </w:tcPr>
          <w:p w:rsidR="003F2F06" w:rsidRDefault="003F2F06" w:rsidP="0023769F">
            <w:pPr>
              <w:spacing w:line="360" w:lineRule="auto"/>
              <w:jc w:val="both"/>
              <w:rPr>
                <w:b/>
              </w:rPr>
            </w:pPr>
            <w:r>
              <w:rPr>
                <w:b/>
              </w:rPr>
              <w:t>Years</w:t>
            </w:r>
          </w:p>
        </w:tc>
        <w:tc>
          <w:tcPr>
            <w:tcW w:w="2254" w:type="dxa"/>
          </w:tcPr>
          <w:p w:rsidR="003F2F06" w:rsidRDefault="003F2F06" w:rsidP="0023769F">
            <w:pPr>
              <w:spacing w:line="360" w:lineRule="auto"/>
              <w:jc w:val="both"/>
              <w:rPr>
                <w:b/>
              </w:rPr>
            </w:pPr>
            <w:r>
              <w:rPr>
                <w:b/>
              </w:rPr>
              <w:t>Current Assets</w:t>
            </w:r>
          </w:p>
        </w:tc>
        <w:tc>
          <w:tcPr>
            <w:tcW w:w="2254" w:type="dxa"/>
          </w:tcPr>
          <w:p w:rsidR="003F2F06" w:rsidRDefault="003F2F06" w:rsidP="0023769F">
            <w:pPr>
              <w:spacing w:line="360" w:lineRule="auto"/>
              <w:jc w:val="both"/>
              <w:rPr>
                <w:b/>
              </w:rPr>
            </w:pPr>
            <w:r>
              <w:rPr>
                <w:b/>
              </w:rPr>
              <w:t>Current Liabilities</w:t>
            </w:r>
          </w:p>
        </w:tc>
        <w:tc>
          <w:tcPr>
            <w:tcW w:w="2254" w:type="dxa"/>
          </w:tcPr>
          <w:p w:rsidR="003F2F06" w:rsidRDefault="003F2F06" w:rsidP="0023769F">
            <w:pPr>
              <w:spacing w:line="360" w:lineRule="auto"/>
              <w:jc w:val="both"/>
              <w:rPr>
                <w:b/>
              </w:rPr>
            </w:pPr>
            <w:r>
              <w:rPr>
                <w:b/>
              </w:rPr>
              <w:t>Current ratio</w:t>
            </w:r>
          </w:p>
        </w:tc>
      </w:tr>
      <w:tr w:rsidR="003F2F06" w:rsidRPr="00806E58" w:rsidTr="00585ADC">
        <w:tc>
          <w:tcPr>
            <w:tcW w:w="2254" w:type="dxa"/>
          </w:tcPr>
          <w:p w:rsidR="003F2F06" w:rsidRPr="00806E58" w:rsidRDefault="003F2F06" w:rsidP="0023769F">
            <w:pPr>
              <w:tabs>
                <w:tab w:val="left" w:pos="1227"/>
              </w:tabs>
              <w:spacing w:line="360" w:lineRule="auto"/>
              <w:jc w:val="both"/>
            </w:pPr>
            <w:r w:rsidRPr="00806E58">
              <w:t>2019-20</w:t>
            </w:r>
          </w:p>
        </w:tc>
        <w:tc>
          <w:tcPr>
            <w:tcW w:w="2254" w:type="dxa"/>
          </w:tcPr>
          <w:p w:rsidR="003F2F06" w:rsidRPr="00806E58" w:rsidRDefault="003F2F06" w:rsidP="0023769F">
            <w:pPr>
              <w:spacing w:line="360" w:lineRule="auto"/>
              <w:jc w:val="both"/>
            </w:pPr>
            <w:r>
              <w:t>1102.90</w:t>
            </w:r>
          </w:p>
        </w:tc>
        <w:tc>
          <w:tcPr>
            <w:tcW w:w="2254" w:type="dxa"/>
          </w:tcPr>
          <w:p w:rsidR="003F2F06" w:rsidRPr="00806E58" w:rsidRDefault="003F2F06" w:rsidP="0023769F">
            <w:pPr>
              <w:spacing w:line="360" w:lineRule="auto"/>
              <w:jc w:val="both"/>
            </w:pPr>
            <w:r>
              <w:t>991.73</w:t>
            </w:r>
          </w:p>
        </w:tc>
        <w:tc>
          <w:tcPr>
            <w:tcW w:w="2254" w:type="dxa"/>
          </w:tcPr>
          <w:p w:rsidR="003F2F06" w:rsidRPr="00806E58" w:rsidRDefault="003F2F06" w:rsidP="0023769F">
            <w:pPr>
              <w:spacing w:line="360" w:lineRule="auto"/>
              <w:jc w:val="both"/>
            </w:pPr>
            <w:r w:rsidRPr="00806E58">
              <w:t>1.</w:t>
            </w:r>
            <w:r>
              <w:t>1121</w:t>
            </w:r>
          </w:p>
        </w:tc>
      </w:tr>
      <w:tr w:rsidR="003F2F06" w:rsidRPr="00806E58" w:rsidTr="00585ADC">
        <w:tc>
          <w:tcPr>
            <w:tcW w:w="2254" w:type="dxa"/>
          </w:tcPr>
          <w:p w:rsidR="003F2F06" w:rsidRPr="00806E58" w:rsidRDefault="003F2F06" w:rsidP="0023769F">
            <w:pPr>
              <w:spacing w:line="360" w:lineRule="auto"/>
              <w:jc w:val="both"/>
            </w:pPr>
            <w:r w:rsidRPr="00806E58">
              <w:t>2020-21</w:t>
            </w:r>
          </w:p>
        </w:tc>
        <w:tc>
          <w:tcPr>
            <w:tcW w:w="2254" w:type="dxa"/>
          </w:tcPr>
          <w:p w:rsidR="003F2F06" w:rsidRPr="00806E58" w:rsidRDefault="003F2F06" w:rsidP="0023769F">
            <w:pPr>
              <w:spacing w:line="360" w:lineRule="auto"/>
              <w:jc w:val="both"/>
            </w:pPr>
            <w:r>
              <w:t>931.55</w:t>
            </w:r>
          </w:p>
        </w:tc>
        <w:tc>
          <w:tcPr>
            <w:tcW w:w="2254" w:type="dxa"/>
          </w:tcPr>
          <w:p w:rsidR="003F2F06" w:rsidRPr="00806E58" w:rsidRDefault="003F2F06" w:rsidP="0023769F">
            <w:pPr>
              <w:spacing w:line="360" w:lineRule="auto"/>
              <w:jc w:val="both"/>
            </w:pPr>
            <w:r>
              <w:t>868.23</w:t>
            </w:r>
          </w:p>
        </w:tc>
        <w:tc>
          <w:tcPr>
            <w:tcW w:w="2254" w:type="dxa"/>
          </w:tcPr>
          <w:p w:rsidR="003F2F06" w:rsidRPr="00806E58" w:rsidRDefault="003F2F06" w:rsidP="0023769F">
            <w:pPr>
              <w:spacing w:line="360" w:lineRule="auto"/>
              <w:jc w:val="both"/>
            </w:pPr>
            <w:r>
              <w:t>1.0729</w:t>
            </w:r>
          </w:p>
        </w:tc>
      </w:tr>
      <w:tr w:rsidR="003F2F06" w:rsidRPr="00806E58" w:rsidTr="00585ADC">
        <w:tc>
          <w:tcPr>
            <w:tcW w:w="2254" w:type="dxa"/>
          </w:tcPr>
          <w:p w:rsidR="003F2F06" w:rsidRPr="00806E58" w:rsidRDefault="003F2F06" w:rsidP="0023769F">
            <w:pPr>
              <w:spacing w:line="360" w:lineRule="auto"/>
              <w:jc w:val="both"/>
            </w:pPr>
            <w:r w:rsidRPr="00806E58">
              <w:t>2021-22</w:t>
            </w:r>
          </w:p>
        </w:tc>
        <w:tc>
          <w:tcPr>
            <w:tcW w:w="2254" w:type="dxa"/>
          </w:tcPr>
          <w:p w:rsidR="003F2F06" w:rsidRPr="00806E58" w:rsidRDefault="003F2F06" w:rsidP="0023769F">
            <w:pPr>
              <w:spacing w:line="360" w:lineRule="auto"/>
              <w:jc w:val="both"/>
            </w:pPr>
            <w:r>
              <w:t>1350.59</w:t>
            </w:r>
          </w:p>
        </w:tc>
        <w:tc>
          <w:tcPr>
            <w:tcW w:w="2254" w:type="dxa"/>
          </w:tcPr>
          <w:p w:rsidR="003F2F06" w:rsidRPr="00806E58" w:rsidRDefault="003F2F06" w:rsidP="0023769F">
            <w:pPr>
              <w:spacing w:line="360" w:lineRule="auto"/>
              <w:jc w:val="both"/>
            </w:pPr>
            <w:r>
              <w:t>1242.98</w:t>
            </w:r>
          </w:p>
        </w:tc>
        <w:tc>
          <w:tcPr>
            <w:tcW w:w="2254" w:type="dxa"/>
          </w:tcPr>
          <w:p w:rsidR="003F2F06" w:rsidRPr="00806E58" w:rsidRDefault="003F2F06" w:rsidP="0023769F">
            <w:pPr>
              <w:spacing w:line="360" w:lineRule="auto"/>
              <w:jc w:val="both"/>
            </w:pPr>
            <w:r>
              <w:t>1.0866</w:t>
            </w:r>
          </w:p>
        </w:tc>
      </w:tr>
      <w:tr w:rsidR="003F2F06" w:rsidRPr="00806E58" w:rsidTr="00585ADC">
        <w:tc>
          <w:tcPr>
            <w:tcW w:w="2254" w:type="dxa"/>
          </w:tcPr>
          <w:p w:rsidR="003F2F06" w:rsidRPr="00806E58" w:rsidRDefault="003F2F06" w:rsidP="0023769F">
            <w:pPr>
              <w:spacing w:line="360" w:lineRule="auto"/>
              <w:jc w:val="both"/>
            </w:pPr>
            <w:r w:rsidRPr="00806E58">
              <w:t>2022-23</w:t>
            </w:r>
          </w:p>
        </w:tc>
        <w:tc>
          <w:tcPr>
            <w:tcW w:w="2254" w:type="dxa"/>
          </w:tcPr>
          <w:p w:rsidR="003F2F06" w:rsidRPr="00806E58" w:rsidRDefault="003F2F06" w:rsidP="0023769F">
            <w:pPr>
              <w:spacing w:line="360" w:lineRule="auto"/>
              <w:jc w:val="both"/>
            </w:pPr>
            <w:r>
              <w:t>1818.68</w:t>
            </w:r>
          </w:p>
        </w:tc>
        <w:tc>
          <w:tcPr>
            <w:tcW w:w="2254" w:type="dxa"/>
          </w:tcPr>
          <w:p w:rsidR="003F2F06" w:rsidRPr="00806E58" w:rsidRDefault="003F2F06" w:rsidP="0023769F">
            <w:pPr>
              <w:spacing w:line="360" w:lineRule="auto"/>
              <w:jc w:val="both"/>
            </w:pPr>
            <w:r>
              <w:t>1743.36</w:t>
            </w:r>
          </w:p>
        </w:tc>
        <w:tc>
          <w:tcPr>
            <w:tcW w:w="2254" w:type="dxa"/>
          </w:tcPr>
          <w:p w:rsidR="003F2F06" w:rsidRPr="00806E58" w:rsidRDefault="003F2F06" w:rsidP="0023769F">
            <w:pPr>
              <w:spacing w:line="360" w:lineRule="auto"/>
              <w:jc w:val="both"/>
            </w:pPr>
            <w:r>
              <w:t>1.0432</w:t>
            </w:r>
          </w:p>
        </w:tc>
      </w:tr>
      <w:tr w:rsidR="003F2F06" w:rsidRPr="00806E58" w:rsidTr="00585AD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2254" w:type="dxa"/>
            <w:tcBorders>
              <w:left w:val="single" w:sz="4" w:space="0" w:color="auto"/>
              <w:bottom w:val="single" w:sz="4" w:space="0" w:color="auto"/>
              <w:right w:val="single" w:sz="4" w:space="0" w:color="auto"/>
            </w:tcBorders>
          </w:tcPr>
          <w:p w:rsidR="003F2F06" w:rsidRPr="00806E58" w:rsidRDefault="003F2F06" w:rsidP="0023769F">
            <w:pPr>
              <w:spacing w:line="360" w:lineRule="auto"/>
              <w:jc w:val="both"/>
            </w:pPr>
            <w:r w:rsidRPr="00806E58">
              <w:t>2023-24</w:t>
            </w:r>
          </w:p>
        </w:tc>
        <w:tc>
          <w:tcPr>
            <w:tcW w:w="2254" w:type="dxa"/>
            <w:tcBorders>
              <w:left w:val="single" w:sz="4" w:space="0" w:color="auto"/>
              <w:bottom w:val="single" w:sz="4" w:space="0" w:color="auto"/>
              <w:right w:val="single" w:sz="4" w:space="0" w:color="auto"/>
            </w:tcBorders>
          </w:tcPr>
          <w:p w:rsidR="003F2F06" w:rsidRPr="00806E58" w:rsidRDefault="003F2F06" w:rsidP="0023769F">
            <w:pPr>
              <w:spacing w:line="360" w:lineRule="auto"/>
              <w:jc w:val="both"/>
            </w:pPr>
            <w:r>
              <w:t>1779.84</w:t>
            </w:r>
          </w:p>
        </w:tc>
        <w:tc>
          <w:tcPr>
            <w:tcW w:w="2254" w:type="dxa"/>
            <w:tcBorders>
              <w:left w:val="single" w:sz="4" w:space="0" w:color="auto"/>
              <w:bottom w:val="single" w:sz="4" w:space="0" w:color="auto"/>
              <w:right w:val="single" w:sz="4" w:space="0" w:color="auto"/>
            </w:tcBorders>
          </w:tcPr>
          <w:p w:rsidR="003F2F06" w:rsidRPr="00806E58" w:rsidRDefault="003F2F06" w:rsidP="0023769F">
            <w:pPr>
              <w:spacing w:line="360" w:lineRule="auto"/>
              <w:jc w:val="both"/>
            </w:pPr>
            <w:r>
              <w:t>1795.26</w:t>
            </w:r>
          </w:p>
        </w:tc>
        <w:tc>
          <w:tcPr>
            <w:tcW w:w="2254" w:type="dxa"/>
            <w:tcBorders>
              <w:left w:val="single" w:sz="4" w:space="0" w:color="auto"/>
              <w:bottom w:val="single" w:sz="4" w:space="0" w:color="auto"/>
              <w:right w:val="single" w:sz="4" w:space="0" w:color="auto"/>
            </w:tcBorders>
          </w:tcPr>
          <w:p w:rsidR="003F2F06" w:rsidRPr="00806E58" w:rsidRDefault="003F2F06" w:rsidP="0023769F">
            <w:pPr>
              <w:spacing w:line="360" w:lineRule="auto"/>
              <w:jc w:val="both"/>
            </w:pPr>
            <w:r>
              <w:t>0.9914</w:t>
            </w:r>
          </w:p>
        </w:tc>
      </w:tr>
    </w:tbl>
    <w:p w:rsidR="003F2F06" w:rsidRDefault="003F2F06" w:rsidP="0023769F">
      <w:pPr>
        <w:spacing w:line="360" w:lineRule="auto"/>
        <w:jc w:val="both"/>
      </w:pPr>
    </w:p>
    <w:p w:rsidR="00BF0E50" w:rsidRDefault="00BF0E50" w:rsidP="0023769F">
      <w:pPr>
        <w:tabs>
          <w:tab w:val="left" w:pos="1816"/>
        </w:tabs>
        <w:jc w:val="both"/>
        <w:rPr>
          <w:b/>
        </w:rPr>
      </w:pPr>
    </w:p>
    <w:p w:rsidR="003F2F06" w:rsidRDefault="00BF0E50" w:rsidP="0023769F">
      <w:pPr>
        <w:spacing w:after="160" w:line="259" w:lineRule="auto"/>
        <w:jc w:val="both"/>
        <w:rPr>
          <w:b/>
        </w:rPr>
      </w:pPr>
      <w:r>
        <w:rPr>
          <w:b/>
        </w:rPr>
        <w:br w:type="page"/>
      </w:r>
    </w:p>
    <w:p w:rsidR="003F2F06" w:rsidRDefault="003F2F06" w:rsidP="0023769F">
      <w:pPr>
        <w:tabs>
          <w:tab w:val="left" w:pos="1816"/>
        </w:tabs>
        <w:jc w:val="both"/>
        <w:rPr>
          <w:b/>
        </w:rPr>
      </w:pPr>
    </w:p>
    <w:p w:rsidR="00EB1C14" w:rsidRDefault="00EB1C14" w:rsidP="0023769F">
      <w:pPr>
        <w:tabs>
          <w:tab w:val="left" w:pos="1816"/>
        </w:tabs>
        <w:jc w:val="both"/>
        <w:rPr>
          <w:b/>
        </w:rPr>
      </w:pPr>
    </w:p>
    <w:p w:rsidR="00EB1C14" w:rsidRDefault="00EB1C14" w:rsidP="0023769F">
      <w:pPr>
        <w:tabs>
          <w:tab w:val="left" w:pos="1816"/>
        </w:tabs>
        <w:jc w:val="both"/>
        <w:rPr>
          <w:b/>
        </w:rPr>
      </w:pPr>
      <w:r>
        <w:rPr>
          <w:b/>
        </w:rPr>
        <w:t xml:space="preserve">                             </w:t>
      </w:r>
      <w:r>
        <w:rPr>
          <w:noProof/>
          <w:lang w:val="en-IN" w:eastAsia="en-IN"/>
        </w:rPr>
        <w:drawing>
          <wp:inline distT="0" distB="0" distL="0" distR="0" wp14:anchorId="3B43A289" wp14:editId="2CBF2D00">
            <wp:extent cx="3514477" cy="2202512"/>
            <wp:effectExtent l="0" t="0" r="1016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B1C14" w:rsidRDefault="00EB1C14" w:rsidP="0023769F">
      <w:pPr>
        <w:tabs>
          <w:tab w:val="left" w:pos="1816"/>
        </w:tabs>
        <w:jc w:val="both"/>
        <w:rPr>
          <w:b/>
        </w:rPr>
      </w:pPr>
      <w:r>
        <w:rPr>
          <w:b/>
        </w:rPr>
        <w:t xml:space="preserve">  </w:t>
      </w:r>
    </w:p>
    <w:p w:rsidR="003F2F06" w:rsidRPr="003F2F06" w:rsidRDefault="003F2F06" w:rsidP="0023769F">
      <w:pPr>
        <w:tabs>
          <w:tab w:val="left" w:pos="1816"/>
        </w:tabs>
        <w:jc w:val="both"/>
        <w:rPr>
          <w:b/>
        </w:rPr>
      </w:pPr>
      <w:r w:rsidRPr="00B939D0">
        <w:rPr>
          <w:b/>
        </w:rPr>
        <w:t>INFERENCE</w:t>
      </w:r>
      <w:r w:rsidR="00EB1C14">
        <w:rPr>
          <w:b/>
        </w:rPr>
        <w:t xml:space="preserve">: </w:t>
      </w:r>
      <w:r>
        <w:t>The above table shows the current ratio of the company are 2019-20 is 1.1121, 2020-21 is 1.0729, 2021-22 is 1.0866, 2022-23 is 1.0432 and 2023-24 is 0.9914.As conventional rule, 2:1 is considered as satisfactory. Overall the company showing an increasing trend.</w:t>
      </w:r>
    </w:p>
    <w:p w:rsidR="003F2F06" w:rsidRDefault="003F2F06" w:rsidP="0023769F">
      <w:pPr>
        <w:tabs>
          <w:tab w:val="left" w:pos="7860"/>
        </w:tabs>
        <w:jc w:val="both"/>
        <w:rPr>
          <w:b/>
        </w:rPr>
      </w:pPr>
    </w:p>
    <w:p w:rsidR="00EB1C14" w:rsidRDefault="00EB1C14" w:rsidP="0023769F">
      <w:pPr>
        <w:tabs>
          <w:tab w:val="left" w:pos="7860"/>
        </w:tabs>
        <w:jc w:val="both"/>
        <w:rPr>
          <w:b/>
        </w:rPr>
      </w:pPr>
      <w:r>
        <w:rPr>
          <w:b/>
        </w:rPr>
        <w:t>Table-2: Liquid Ratio</w:t>
      </w:r>
      <w:bookmarkStart w:id="0" w:name="_GoBack"/>
      <w:bookmarkEnd w:id="0"/>
    </w:p>
    <w:p w:rsidR="00EB1C14" w:rsidRDefault="00EB1C14" w:rsidP="0023769F">
      <w:pPr>
        <w:tabs>
          <w:tab w:val="left" w:pos="7860"/>
        </w:tabs>
        <w:jc w:val="both"/>
        <w:rPr>
          <w:b/>
        </w:rPr>
      </w:pPr>
    </w:p>
    <w:tbl>
      <w:tblPr>
        <w:tblStyle w:val="TableGrid"/>
        <w:tblW w:w="0" w:type="auto"/>
        <w:tblLook w:val="04A0" w:firstRow="1" w:lastRow="0" w:firstColumn="1" w:lastColumn="0" w:noHBand="0" w:noVBand="1"/>
      </w:tblPr>
      <w:tblGrid>
        <w:gridCol w:w="2254"/>
        <w:gridCol w:w="2254"/>
        <w:gridCol w:w="2254"/>
        <w:gridCol w:w="2254"/>
      </w:tblGrid>
      <w:tr w:rsidR="00EB1C14" w:rsidTr="00585ADC">
        <w:tc>
          <w:tcPr>
            <w:tcW w:w="2254" w:type="dxa"/>
          </w:tcPr>
          <w:p w:rsidR="00EB1C14" w:rsidRPr="00D071E5" w:rsidRDefault="00EB1C14" w:rsidP="0023769F">
            <w:pPr>
              <w:tabs>
                <w:tab w:val="left" w:pos="1816"/>
              </w:tabs>
              <w:jc w:val="both"/>
              <w:rPr>
                <w:b/>
              </w:rPr>
            </w:pPr>
            <w:r w:rsidRPr="00D071E5">
              <w:rPr>
                <w:b/>
              </w:rPr>
              <w:t>Years</w:t>
            </w:r>
          </w:p>
        </w:tc>
        <w:tc>
          <w:tcPr>
            <w:tcW w:w="2254" w:type="dxa"/>
          </w:tcPr>
          <w:p w:rsidR="00EB1C14" w:rsidRPr="00D071E5" w:rsidRDefault="00EB1C14" w:rsidP="0023769F">
            <w:pPr>
              <w:tabs>
                <w:tab w:val="left" w:pos="1816"/>
              </w:tabs>
              <w:jc w:val="both"/>
              <w:rPr>
                <w:b/>
              </w:rPr>
            </w:pPr>
            <w:r w:rsidRPr="00D071E5">
              <w:rPr>
                <w:b/>
              </w:rPr>
              <w:t>Liquid Asset</w:t>
            </w:r>
          </w:p>
        </w:tc>
        <w:tc>
          <w:tcPr>
            <w:tcW w:w="2254" w:type="dxa"/>
          </w:tcPr>
          <w:p w:rsidR="00EB1C14" w:rsidRPr="00D071E5" w:rsidRDefault="00EB1C14" w:rsidP="0023769F">
            <w:pPr>
              <w:tabs>
                <w:tab w:val="left" w:pos="1816"/>
              </w:tabs>
              <w:jc w:val="both"/>
              <w:rPr>
                <w:b/>
              </w:rPr>
            </w:pPr>
            <w:r w:rsidRPr="00D071E5">
              <w:rPr>
                <w:b/>
              </w:rPr>
              <w:t>Quick liabilities</w:t>
            </w:r>
          </w:p>
        </w:tc>
        <w:tc>
          <w:tcPr>
            <w:tcW w:w="2254" w:type="dxa"/>
          </w:tcPr>
          <w:p w:rsidR="00EB1C14" w:rsidRPr="00D071E5" w:rsidRDefault="00EB1C14" w:rsidP="0023769F">
            <w:pPr>
              <w:tabs>
                <w:tab w:val="left" w:pos="1816"/>
              </w:tabs>
              <w:jc w:val="both"/>
              <w:rPr>
                <w:b/>
              </w:rPr>
            </w:pPr>
            <w:r w:rsidRPr="00D071E5">
              <w:rPr>
                <w:b/>
              </w:rPr>
              <w:t>Liquid ratio</w:t>
            </w:r>
          </w:p>
        </w:tc>
      </w:tr>
      <w:tr w:rsidR="00EB1C14" w:rsidTr="00585ADC">
        <w:tc>
          <w:tcPr>
            <w:tcW w:w="2254" w:type="dxa"/>
          </w:tcPr>
          <w:p w:rsidR="00EB1C14" w:rsidRPr="00806E58" w:rsidRDefault="00EB1C14" w:rsidP="0023769F">
            <w:pPr>
              <w:spacing w:line="360" w:lineRule="auto"/>
              <w:jc w:val="both"/>
            </w:pPr>
            <w:r w:rsidRPr="00806E58">
              <w:t>2019-20</w:t>
            </w:r>
          </w:p>
        </w:tc>
        <w:tc>
          <w:tcPr>
            <w:tcW w:w="2254" w:type="dxa"/>
          </w:tcPr>
          <w:p w:rsidR="00EB1C14" w:rsidRDefault="00EB1C14" w:rsidP="0023769F">
            <w:pPr>
              <w:tabs>
                <w:tab w:val="left" w:pos="1816"/>
              </w:tabs>
              <w:jc w:val="both"/>
            </w:pPr>
            <w:r>
              <w:t>700.07</w:t>
            </w:r>
          </w:p>
        </w:tc>
        <w:tc>
          <w:tcPr>
            <w:tcW w:w="2254" w:type="dxa"/>
          </w:tcPr>
          <w:p w:rsidR="00EB1C14" w:rsidRPr="00806E58" w:rsidRDefault="00EB1C14" w:rsidP="0023769F">
            <w:pPr>
              <w:spacing w:line="360" w:lineRule="auto"/>
              <w:jc w:val="both"/>
            </w:pPr>
            <w:r>
              <w:t>991.73</w:t>
            </w:r>
          </w:p>
        </w:tc>
        <w:tc>
          <w:tcPr>
            <w:tcW w:w="2254" w:type="dxa"/>
          </w:tcPr>
          <w:p w:rsidR="00EB1C14" w:rsidRDefault="00EB1C14" w:rsidP="0023769F">
            <w:pPr>
              <w:tabs>
                <w:tab w:val="left" w:pos="1816"/>
              </w:tabs>
              <w:jc w:val="both"/>
            </w:pPr>
            <w:r>
              <w:t>0.7059</w:t>
            </w:r>
          </w:p>
        </w:tc>
      </w:tr>
      <w:tr w:rsidR="00EB1C14" w:rsidTr="00585ADC">
        <w:tc>
          <w:tcPr>
            <w:tcW w:w="2254" w:type="dxa"/>
          </w:tcPr>
          <w:p w:rsidR="00EB1C14" w:rsidRPr="00806E58" w:rsidRDefault="00EB1C14" w:rsidP="0023769F">
            <w:pPr>
              <w:spacing w:line="360" w:lineRule="auto"/>
              <w:jc w:val="both"/>
            </w:pPr>
            <w:r w:rsidRPr="00806E58">
              <w:t>2020-21</w:t>
            </w:r>
          </w:p>
        </w:tc>
        <w:tc>
          <w:tcPr>
            <w:tcW w:w="2254" w:type="dxa"/>
          </w:tcPr>
          <w:p w:rsidR="00EB1C14" w:rsidRDefault="00EB1C14" w:rsidP="0023769F">
            <w:pPr>
              <w:tabs>
                <w:tab w:val="left" w:pos="1816"/>
              </w:tabs>
              <w:jc w:val="both"/>
            </w:pPr>
            <w:r>
              <w:t>931.55</w:t>
            </w:r>
          </w:p>
        </w:tc>
        <w:tc>
          <w:tcPr>
            <w:tcW w:w="2254" w:type="dxa"/>
          </w:tcPr>
          <w:p w:rsidR="00EB1C14" w:rsidRPr="00806E58" w:rsidRDefault="00EB1C14" w:rsidP="0023769F">
            <w:pPr>
              <w:spacing w:line="360" w:lineRule="auto"/>
              <w:jc w:val="both"/>
            </w:pPr>
            <w:r>
              <w:t>868.23</w:t>
            </w:r>
          </w:p>
        </w:tc>
        <w:tc>
          <w:tcPr>
            <w:tcW w:w="2254" w:type="dxa"/>
          </w:tcPr>
          <w:p w:rsidR="00EB1C14" w:rsidRDefault="00EB1C14" w:rsidP="0023769F">
            <w:pPr>
              <w:tabs>
                <w:tab w:val="left" w:pos="1816"/>
              </w:tabs>
              <w:jc w:val="both"/>
            </w:pPr>
            <w:r>
              <w:t>1.0729</w:t>
            </w:r>
          </w:p>
        </w:tc>
      </w:tr>
      <w:tr w:rsidR="00EB1C14" w:rsidTr="00585ADC">
        <w:tc>
          <w:tcPr>
            <w:tcW w:w="2254" w:type="dxa"/>
          </w:tcPr>
          <w:p w:rsidR="00EB1C14" w:rsidRPr="00806E58" w:rsidRDefault="00EB1C14" w:rsidP="0023769F">
            <w:pPr>
              <w:spacing w:line="360" w:lineRule="auto"/>
              <w:jc w:val="both"/>
            </w:pPr>
            <w:r w:rsidRPr="00806E58">
              <w:t>2021-22</w:t>
            </w:r>
          </w:p>
        </w:tc>
        <w:tc>
          <w:tcPr>
            <w:tcW w:w="2254" w:type="dxa"/>
          </w:tcPr>
          <w:p w:rsidR="00EB1C14" w:rsidRDefault="00EB1C14" w:rsidP="0023769F">
            <w:pPr>
              <w:tabs>
                <w:tab w:val="left" w:pos="1816"/>
              </w:tabs>
              <w:jc w:val="both"/>
            </w:pPr>
            <w:r>
              <w:t>1350.59</w:t>
            </w:r>
          </w:p>
        </w:tc>
        <w:tc>
          <w:tcPr>
            <w:tcW w:w="2254" w:type="dxa"/>
          </w:tcPr>
          <w:p w:rsidR="00EB1C14" w:rsidRPr="00806E58" w:rsidRDefault="00EB1C14" w:rsidP="0023769F">
            <w:pPr>
              <w:spacing w:line="360" w:lineRule="auto"/>
              <w:jc w:val="both"/>
            </w:pPr>
            <w:r>
              <w:t>1242.98</w:t>
            </w:r>
          </w:p>
        </w:tc>
        <w:tc>
          <w:tcPr>
            <w:tcW w:w="2254" w:type="dxa"/>
          </w:tcPr>
          <w:p w:rsidR="00EB1C14" w:rsidRDefault="00EB1C14" w:rsidP="0023769F">
            <w:pPr>
              <w:tabs>
                <w:tab w:val="left" w:pos="1816"/>
              </w:tabs>
              <w:jc w:val="both"/>
            </w:pPr>
            <w:r>
              <w:t>1.0866</w:t>
            </w:r>
          </w:p>
        </w:tc>
      </w:tr>
      <w:tr w:rsidR="00EB1C14" w:rsidTr="00585ADC">
        <w:tc>
          <w:tcPr>
            <w:tcW w:w="2254" w:type="dxa"/>
          </w:tcPr>
          <w:p w:rsidR="00EB1C14" w:rsidRPr="00806E58" w:rsidRDefault="00EB1C14" w:rsidP="0023769F">
            <w:pPr>
              <w:spacing w:line="360" w:lineRule="auto"/>
              <w:jc w:val="both"/>
            </w:pPr>
            <w:r w:rsidRPr="00806E58">
              <w:t>2022-23</w:t>
            </w:r>
          </w:p>
        </w:tc>
        <w:tc>
          <w:tcPr>
            <w:tcW w:w="2254" w:type="dxa"/>
          </w:tcPr>
          <w:p w:rsidR="00EB1C14" w:rsidRDefault="00EB1C14" w:rsidP="0023769F">
            <w:pPr>
              <w:tabs>
                <w:tab w:val="left" w:pos="1816"/>
              </w:tabs>
              <w:jc w:val="both"/>
            </w:pPr>
            <w:r>
              <w:t>1818.68</w:t>
            </w:r>
          </w:p>
        </w:tc>
        <w:tc>
          <w:tcPr>
            <w:tcW w:w="2254" w:type="dxa"/>
          </w:tcPr>
          <w:p w:rsidR="00EB1C14" w:rsidRPr="00806E58" w:rsidRDefault="00EB1C14" w:rsidP="0023769F">
            <w:pPr>
              <w:spacing w:line="360" w:lineRule="auto"/>
              <w:jc w:val="both"/>
            </w:pPr>
            <w:r>
              <w:t>1743.36</w:t>
            </w:r>
          </w:p>
        </w:tc>
        <w:tc>
          <w:tcPr>
            <w:tcW w:w="2254" w:type="dxa"/>
          </w:tcPr>
          <w:p w:rsidR="00EB1C14" w:rsidRDefault="00EB1C14" w:rsidP="0023769F">
            <w:pPr>
              <w:tabs>
                <w:tab w:val="left" w:pos="1816"/>
              </w:tabs>
              <w:jc w:val="both"/>
            </w:pPr>
            <w:r>
              <w:t>1.0432</w:t>
            </w:r>
          </w:p>
        </w:tc>
      </w:tr>
      <w:tr w:rsidR="00EB1C14" w:rsidTr="00585ADC">
        <w:tc>
          <w:tcPr>
            <w:tcW w:w="2254" w:type="dxa"/>
          </w:tcPr>
          <w:p w:rsidR="00EB1C14" w:rsidRPr="00806E58" w:rsidRDefault="00EB1C14" w:rsidP="0023769F">
            <w:pPr>
              <w:spacing w:line="360" w:lineRule="auto"/>
              <w:jc w:val="both"/>
            </w:pPr>
            <w:r w:rsidRPr="00806E58">
              <w:t>2023-24</w:t>
            </w:r>
          </w:p>
        </w:tc>
        <w:tc>
          <w:tcPr>
            <w:tcW w:w="2254" w:type="dxa"/>
          </w:tcPr>
          <w:p w:rsidR="00EB1C14" w:rsidRDefault="00EB1C14" w:rsidP="0023769F">
            <w:pPr>
              <w:tabs>
                <w:tab w:val="left" w:pos="1816"/>
              </w:tabs>
              <w:jc w:val="both"/>
            </w:pPr>
            <w:r>
              <w:t>1779.84</w:t>
            </w:r>
          </w:p>
        </w:tc>
        <w:tc>
          <w:tcPr>
            <w:tcW w:w="2254" w:type="dxa"/>
          </w:tcPr>
          <w:p w:rsidR="00EB1C14" w:rsidRPr="00806E58" w:rsidRDefault="00EB1C14" w:rsidP="0023769F">
            <w:pPr>
              <w:spacing w:line="360" w:lineRule="auto"/>
              <w:jc w:val="both"/>
            </w:pPr>
            <w:r>
              <w:t>1795.26</w:t>
            </w:r>
          </w:p>
        </w:tc>
        <w:tc>
          <w:tcPr>
            <w:tcW w:w="2254" w:type="dxa"/>
          </w:tcPr>
          <w:p w:rsidR="00EB1C14" w:rsidRDefault="00EB1C14" w:rsidP="0023769F">
            <w:pPr>
              <w:tabs>
                <w:tab w:val="left" w:pos="1816"/>
              </w:tabs>
              <w:jc w:val="both"/>
            </w:pPr>
            <w:r>
              <w:t>0.9914</w:t>
            </w:r>
          </w:p>
        </w:tc>
      </w:tr>
    </w:tbl>
    <w:p w:rsidR="00EB1C14" w:rsidRDefault="00EB1C14" w:rsidP="0023769F">
      <w:pPr>
        <w:tabs>
          <w:tab w:val="left" w:pos="1816"/>
        </w:tabs>
        <w:jc w:val="both"/>
      </w:pPr>
    </w:p>
    <w:p w:rsidR="00EB1C14" w:rsidRDefault="00EB1C14" w:rsidP="0023769F">
      <w:pPr>
        <w:tabs>
          <w:tab w:val="left" w:pos="1816"/>
        </w:tabs>
        <w:jc w:val="both"/>
      </w:pPr>
    </w:p>
    <w:p w:rsidR="00EB1C14" w:rsidRDefault="00EB1C14" w:rsidP="0023769F">
      <w:pPr>
        <w:tabs>
          <w:tab w:val="left" w:pos="1816"/>
        </w:tabs>
        <w:jc w:val="both"/>
      </w:pPr>
      <w:r>
        <w:t xml:space="preserve">                          </w:t>
      </w:r>
      <w:r>
        <w:rPr>
          <w:noProof/>
          <w:lang w:val="en-IN" w:eastAsia="en-IN"/>
        </w:rPr>
        <w:drawing>
          <wp:inline distT="0" distB="0" distL="0" distR="0" wp14:anchorId="6E1149DB" wp14:editId="284B56C3">
            <wp:extent cx="3799840" cy="2560320"/>
            <wp:effectExtent l="0" t="0" r="1016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1C14" w:rsidRDefault="00EB1C14" w:rsidP="0023769F">
      <w:pPr>
        <w:tabs>
          <w:tab w:val="left" w:pos="1816"/>
        </w:tabs>
        <w:jc w:val="both"/>
      </w:pPr>
    </w:p>
    <w:p w:rsidR="00EB1C14" w:rsidRDefault="00EB1C14" w:rsidP="0023769F">
      <w:pPr>
        <w:tabs>
          <w:tab w:val="left" w:pos="1816"/>
        </w:tabs>
        <w:jc w:val="both"/>
      </w:pPr>
    </w:p>
    <w:p w:rsidR="00EB1C14" w:rsidRDefault="00EB1C14" w:rsidP="0023769F">
      <w:pPr>
        <w:tabs>
          <w:tab w:val="left" w:pos="1816"/>
        </w:tabs>
        <w:jc w:val="both"/>
      </w:pPr>
    </w:p>
    <w:p w:rsidR="00EB1C14" w:rsidRDefault="00EB1C14" w:rsidP="0023769F">
      <w:pPr>
        <w:tabs>
          <w:tab w:val="left" w:pos="1816"/>
        </w:tabs>
        <w:jc w:val="both"/>
      </w:pPr>
    </w:p>
    <w:p w:rsidR="00EB1C14" w:rsidRDefault="00EB1C14" w:rsidP="0023769F">
      <w:pPr>
        <w:tabs>
          <w:tab w:val="left" w:pos="1816"/>
        </w:tabs>
        <w:jc w:val="both"/>
      </w:pPr>
    </w:p>
    <w:p w:rsidR="00EB1C14" w:rsidRDefault="00EB1C14" w:rsidP="0023769F">
      <w:pPr>
        <w:tabs>
          <w:tab w:val="left" w:pos="1816"/>
        </w:tabs>
        <w:jc w:val="both"/>
      </w:pPr>
      <w:r w:rsidRPr="00D071E5">
        <w:rPr>
          <w:b/>
        </w:rPr>
        <w:t>INFERENCE:</w:t>
      </w:r>
      <w:r>
        <w:rPr>
          <w:b/>
        </w:rPr>
        <w:t xml:space="preserve"> </w:t>
      </w:r>
      <w:r>
        <w:t>The above table shows the current ratio of the company are 2019-20 is 1.1121, 2020-21 is 1.0729, 2021-22 is 1.0866, 2022-23 is 1.0432 and 2023-24 is 0.9914.As conventional rule, 2:1 is considered as satisfactory. Overall the company showing an increasing trend.</w:t>
      </w:r>
      <w:r>
        <w:br/>
      </w:r>
    </w:p>
    <w:p w:rsidR="00EB1C14" w:rsidRPr="00EB1C14" w:rsidRDefault="00EB1C14" w:rsidP="0023769F">
      <w:pPr>
        <w:tabs>
          <w:tab w:val="left" w:pos="1816"/>
        </w:tabs>
        <w:jc w:val="both"/>
        <w:rPr>
          <w:b/>
        </w:rPr>
      </w:pPr>
      <w:r w:rsidRPr="00EB1C14">
        <w:rPr>
          <w:b/>
        </w:rPr>
        <w:t>Table-3: Absolute Liquid Assets Ratio</w:t>
      </w:r>
    </w:p>
    <w:p w:rsidR="00EB1C14" w:rsidRDefault="00EB1C14" w:rsidP="0023769F">
      <w:pPr>
        <w:tabs>
          <w:tab w:val="left" w:pos="7860"/>
        </w:tabs>
        <w:jc w:val="both"/>
        <w:rPr>
          <w:b/>
        </w:rPr>
      </w:pPr>
    </w:p>
    <w:tbl>
      <w:tblPr>
        <w:tblStyle w:val="TableGrid"/>
        <w:tblW w:w="0" w:type="auto"/>
        <w:tblLook w:val="04A0" w:firstRow="1" w:lastRow="0" w:firstColumn="1" w:lastColumn="0" w:noHBand="0" w:noVBand="1"/>
      </w:tblPr>
      <w:tblGrid>
        <w:gridCol w:w="2254"/>
        <w:gridCol w:w="2254"/>
        <w:gridCol w:w="2254"/>
        <w:gridCol w:w="2254"/>
      </w:tblGrid>
      <w:tr w:rsidR="00EB1C14" w:rsidTr="00585ADC">
        <w:tc>
          <w:tcPr>
            <w:tcW w:w="2254" w:type="dxa"/>
          </w:tcPr>
          <w:p w:rsidR="00EB1C14" w:rsidRPr="00D071E5" w:rsidRDefault="00EB1C14" w:rsidP="0023769F">
            <w:pPr>
              <w:jc w:val="both"/>
              <w:rPr>
                <w:b/>
              </w:rPr>
            </w:pPr>
            <w:r w:rsidRPr="00D071E5">
              <w:rPr>
                <w:b/>
              </w:rPr>
              <w:t>Years</w:t>
            </w:r>
          </w:p>
        </w:tc>
        <w:tc>
          <w:tcPr>
            <w:tcW w:w="2254" w:type="dxa"/>
          </w:tcPr>
          <w:p w:rsidR="00EB1C14" w:rsidRPr="00D071E5" w:rsidRDefault="00EB1C14" w:rsidP="0023769F">
            <w:pPr>
              <w:jc w:val="both"/>
              <w:rPr>
                <w:b/>
              </w:rPr>
            </w:pPr>
            <w:r w:rsidRPr="00D071E5">
              <w:rPr>
                <w:b/>
              </w:rPr>
              <w:t>Absolute Liquid Assets</w:t>
            </w:r>
          </w:p>
        </w:tc>
        <w:tc>
          <w:tcPr>
            <w:tcW w:w="2254" w:type="dxa"/>
          </w:tcPr>
          <w:p w:rsidR="00EB1C14" w:rsidRPr="00D071E5" w:rsidRDefault="00EB1C14" w:rsidP="0023769F">
            <w:pPr>
              <w:jc w:val="both"/>
              <w:rPr>
                <w:b/>
              </w:rPr>
            </w:pPr>
            <w:r w:rsidRPr="00D071E5">
              <w:rPr>
                <w:b/>
              </w:rPr>
              <w:t>Quick Liabilities</w:t>
            </w:r>
          </w:p>
        </w:tc>
        <w:tc>
          <w:tcPr>
            <w:tcW w:w="2254" w:type="dxa"/>
          </w:tcPr>
          <w:p w:rsidR="00EB1C14" w:rsidRPr="00D071E5" w:rsidRDefault="00EB1C14" w:rsidP="0023769F">
            <w:pPr>
              <w:jc w:val="both"/>
              <w:rPr>
                <w:b/>
              </w:rPr>
            </w:pPr>
            <w:r w:rsidRPr="00D071E5">
              <w:rPr>
                <w:b/>
              </w:rPr>
              <w:t>Absolute Liquid Assets ratio</w:t>
            </w:r>
          </w:p>
        </w:tc>
      </w:tr>
      <w:tr w:rsidR="00EB1C14" w:rsidTr="00585ADC">
        <w:tc>
          <w:tcPr>
            <w:tcW w:w="2254" w:type="dxa"/>
          </w:tcPr>
          <w:p w:rsidR="00EB1C14" w:rsidRPr="00806E58" w:rsidRDefault="00EB1C14" w:rsidP="0023769F">
            <w:pPr>
              <w:spacing w:line="360" w:lineRule="auto"/>
              <w:jc w:val="both"/>
            </w:pPr>
            <w:r w:rsidRPr="00806E58">
              <w:t>2019-20</w:t>
            </w:r>
          </w:p>
        </w:tc>
        <w:tc>
          <w:tcPr>
            <w:tcW w:w="2254" w:type="dxa"/>
          </w:tcPr>
          <w:p w:rsidR="00EB1C14" w:rsidRDefault="00EB1C14" w:rsidP="0023769F">
            <w:pPr>
              <w:jc w:val="both"/>
            </w:pPr>
            <w:r>
              <w:t>8.93</w:t>
            </w:r>
          </w:p>
        </w:tc>
        <w:tc>
          <w:tcPr>
            <w:tcW w:w="2254" w:type="dxa"/>
          </w:tcPr>
          <w:p w:rsidR="00EB1C14" w:rsidRPr="00806E58" w:rsidRDefault="00EB1C14" w:rsidP="0023769F">
            <w:pPr>
              <w:spacing w:line="360" w:lineRule="auto"/>
              <w:jc w:val="both"/>
            </w:pPr>
            <w:r>
              <w:t>991.73</w:t>
            </w:r>
          </w:p>
        </w:tc>
        <w:tc>
          <w:tcPr>
            <w:tcW w:w="2254" w:type="dxa"/>
          </w:tcPr>
          <w:p w:rsidR="00EB1C14" w:rsidRDefault="00EB1C14" w:rsidP="0023769F">
            <w:pPr>
              <w:jc w:val="both"/>
            </w:pPr>
            <w:r>
              <w:t>0.0090</w:t>
            </w:r>
          </w:p>
        </w:tc>
      </w:tr>
      <w:tr w:rsidR="00EB1C14" w:rsidTr="00585ADC">
        <w:tc>
          <w:tcPr>
            <w:tcW w:w="2254" w:type="dxa"/>
          </w:tcPr>
          <w:p w:rsidR="00EB1C14" w:rsidRPr="00806E58" w:rsidRDefault="00EB1C14" w:rsidP="0023769F">
            <w:pPr>
              <w:spacing w:line="360" w:lineRule="auto"/>
              <w:jc w:val="both"/>
            </w:pPr>
            <w:r w:rsidRPr="00806E58">
              <w:t>2020-21</w:t>
            </w:r>
          </w:p>
        </w:tc>
        <w:tc>
          <w:tcPr>
            <w:tcW w:w="2254" w:type="dxa"/>
          </w:tcPr>
          <w:p w:rsidR="00EB1C14" w:rsidRDefault="00EB1C14" w:rsidP="0023769F">
            <w:pPr>
              <w:jc w:val="both"/>
            </w:pPr>
            <w:r>
              <w:t>6.04</w:t>
            </w:r>
          </w:p>
        </w:tc>
        <w:tc>
          <w:tcPr>
            <w:tcW w:w="2254" w:type="dxa"/>
          </w:tcPr>
          <w:p w:rsidR="00EB1C14" w:rsidRPr="00806E58" w:rsidRDefault="00EB1C14" w:rsidP="0023769F">
            <w:pPr>
              <w:spacing w:line="360" w:lineRule="auto"/>
              <w:jc w:val="both"/>
            </w:pPr>
            <w:r>
              <w:t>868.23</w:t>
            </w:r>
          </w:p>
        </w:tc>
        <w:tc>
          <w:tcPr>
            <w:tcW w:w="2254" w:type="dxa"/>
          </w:tcPr>
          <w:p w:rsidR="00EB1C14" w:rsidRDefault="00EB1C14" w:rsidP="0023769F">
            <w:pPr>
              <w:jc w:val="both"/>
            </w:pPr>
            <w:r>
              <w:t>0.0070</w:t>
            </w:r>
          </w:p>
        </w:tc>
      </w:tr>
      <w:tr w:rsidR="00EB1C14" w:rsidTr="00585ADC">
        <w:tc>
          <w:tcPr>
            <w:tcW w:w="2254" w:type="dxa"/>
          </w:tcPr>
          <w:p w:rsidR="00EB1C14" w:rsidRPr="00806E58" w:rsidRDefault="00EB1C14" w:rsidP="0023769F">
            <w:pPr>
              <w:spacing w:line="360" w:lineRule="auto"/>
              <w:jc w:val="both"/>
            </w:pPr>
            <w:r w:rsidRPr="00806E58">
              <w:t>2021-22</w:t>
            </w:r>
          </w:p>
        </w:tc>
        <w:tc>
          <w:tcPr>
            <w:tcW w:w="2254" w:type="dxa"/>
          </w:tcPr>
          <w:p w:rsidR="00EB1C14" w:rsidRDefault="00EB1C14" w:rsidP="0023769F">
            <w:pPr>
              <w:jc w:val="both"/>
            </w:pPr>
            <w:r>
              <w:t>3.47</w:t>
            </w:r>
          </w:p>
        </w:tc>
        <w:tc>
          <w:tcPr>
            <w:tcW w:w="2254" w:type="dxa"/>
          </w:tcPr>
          <w:p w:rsidR="00EB1C14" w:rsidRPr="00806E58" w:rsidRDefault="00EB1C14" w:rsidP="0023769F">
            <w:pPr>
              <w:spacing w:line="360" w:lineRule="auto"/>
              <w:jc w:val="both"/>
            </w:pPr>
            <w:r>
              <w:t>1242.98</w:t>
            </w:r>
          </w:p>
        </w:tc>
        <w:tc>
          <w:tcPr>
            <w:tcW w:w="2254" w:type="dxa"/>
          </w:tcPr>
          <w:p w:rsidR="00EB1C14" w:rsidRDefault="00EB1C14" w:rsidP="0023769F">
            <w:pPr>
              <w:jc w:val="both"/>
            </w:pPr>
            <w:r>
              <w:t>0.0028</w:t>
            </w:r>
          </w:p>
        </w:tc>
      </w:tr>
      <w:tr w:rsidR="00EB1C14" w:rsidTr="00585ADC">
        <w:tc>
          <w:tcPr>
            <w:tcW w:w="2254" w:type="dxa"/>
          </w:tcPr>
          <w:p w:rsidR="00EB1C14" w:rsidRPr="00806E58" w:rsidRDefault="00EB1C14" w:rsidP="0023769F">
            <w:pPr>
              <w:spacing w:line="360" w:lineRule="auto"/>
              <w:jc w:val="both"/>
            </w:pPr>
            <w:r w:rsidRPr="00806E58">
              <w:t>2022-23</w:t>
            </w:r>
          </w:p>
        </w:tc>
        <w:tc>
          <w:tcPr>
            <w:tcW w:w="2254" w:type="dxa"/>
          </w:tcPr>
          <w:p w:rsidR="00EB1C14" w:rsidRDefault="00EB1C14" w:rsidP="0023769F">
            <w:pPr>
              <w:jc w:val="both"/>
            </w:pPr>
            <w:r>
              <w:t>4.23</w:t>
            </w:r>
          </w:p>
        </w:tc>
        <w:tc>
          <w:tcPr>
            <w:tcW w:w="2254" w:type="dxa"/>
          </w:tcPr>
          <w:p w:rsidR="00EB1C14" w:rsidRPr="00806E58" w:rsidRDefault="00EB1C14" w:rsidP="0023769F">
            <w:pPr>
              <w:spacing w:line="360" w:lineRule="auto"/>
              <w:jc w:val="both"/>
            </w:pPr>
            <w:r>
              <w:t>1743.36</w:t>
            </w:r>
          </w:p>
        </w:tc>
        <w:tc>
          <w:tcPr>
            <w:tcW w:w="2254" w:type="dxa"/>
          </w:tcPr>
          <w:p w:rsidR="00EB1C14" w:rsidRDefault="00EB1C14" w:rsidP="0023769F">
            <w:pPr>
              <w:jc w:val="both"/>
            </w:pPr>
            <w:r>
              <w:t>0.0024</w:t>
            </w:r>
          </w:p>
        </w:tc>
      </w:tr>
      <w:tr w:rsidR="00EB1C14" w:rsidTr="00585ADC">
        <w:tc>
          <w:tcPr>
            <w:tcW w:w="2254" w:type="dxa"/>
          </w:tcPr>
          <w:p w:rsidR="00EB1C14" w:rsidRPr="00806E58" w:rsidRDefault="00EB1C14" w:rsidP="0023769F">
            <w:pPr>
              <w:spacing w:line="360" w:lineRule="auto"/>
              <w:jc w:val="both"/>
            </w:pPr>
            <w:r w:rsidRPr="00806E58">
              <w:t>2023-24</w:t>
            </w:r>
          </w:p>
        </w:tc>
        <w:tc>
          <w:tcPr>
            <w:tcW w:w="2254" w:type="dxa"/>
          </w:tcPr>
          <w:p w:rsidR="00EB1C14" w:rsidRDefault="00EB1C14" w:rsidP="0023769F">
            <w:pPr>
              <w:jc w:val="both"/>
            </w:pPr>
            <w:r>
              <w:t>4.64</w:t>
            </w:r>
          </w:p>
        </w:tc>
        <w:tc>
          <w:tcPr>
            <w:tcW w:w="2254" w:type="dxa"/>
          </w:tcPr>
          <w:p w:rsidR="00EB1C14" w:rsidRPr="00806E58" w:rsidRDefault="00EB1C14" w:rsidP="0023769F">
            <w:pPr>
              <w:spacing w:line="360" w:lineRule="auto"/>
              <w:jc w:val="both"/>
            </w:pPr>
            <w:r>
              <w:t>1795.26</w:t>
            </w:r>
          </w:p>
        </w:tc>
        <w:tc>
          <w:tcPr>
            <w:tcW w:w="2254" w:type="dxa"/>
          </w:tcPr>
          <w:p w:rsidR="00EB1C14" w:rsidRDefault="00EB1C14" w:rsidP="0023769F">
            <w:pPr>
              <w:jc w:val="both"/>
            </w:pPr>
            <w:r>
              <w:t>0.0026</w:t>
            </w:r>
          </w:p>
        </w:tc>
      </w:tr>
    </w:tbl>
    <w:p w:rsidR="00EB1C14" w:rsidRDefault="00EB1C14" w:rsidP="0023769F">
      <w:pPr>
        <w:jc w:val="both"/>
      </w:pPr>
    </w:p>
    <w:p w:rsidR="00EB1C14" w:rsidRDefault="00EB1C14" w:rsidP="0023769F">
      <w:pPr>
        <w:jc w:val="both"/>
        <w:rPr>
          <w:b/>
        </w:rPr>
      </w:pPr>
    </w:p>
    <w:p w:rsidR="00EB1C14" w:rsidRDefault="00EB1C14" w:rsidP="0023769F">
      <w:pPr>
        <w:jc w:val="both"/>
        <w:rPr>
          <w:b/>
        </w:rPr>
      </w:pPr>
      <w:r>
        <w:rPr>
          <w:b/>
        </w:rPr>
        <w:t xml:space="preserve">               </w:t>
      </w:r>
      <w:r>
        <w:rPr>
          <w:noProof/>
          <w:lang w:val="en-IN" w:eastAsia="en-IN"/>
        </w:rPr>
        <w:drawing>
          <wp:inline distT="0" distB="0" distL="0" distR="0" wp14:anchorId="19BB0F22" wp14:editId="38405827">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1C14" w:rsidRDefault="00EB1C14" w:rsidP="0023769F">
      <w:pPr>
        <w:jc w:val="both"/>
        <w:rPr>
          <w:b/>
        </w:rPr>
      </w:pPr>
    </w:p>
    <w:p w:rsidR="00EB1C14" w:rsidRDefault="00EB1C14" w:rsidP="0023769F">
      <w:pPr>
        <w:jc w:val="both"/>
        <w:rPr>
          <w:b/>
        </w:rPr>
      </w:pPr>
    </w:p>
    <w:p w:rsidR="001572AE" w:rsidRDefault="00EB1C14" w:rsidP="0023769F">
      <w:pPr>
        <w:jc w:val="both"/>
      </w:pPr>
      <w:r w:rsidRPr="00D071E5">
        <w:rPr>
          <w:b/>
        </w:rPr>
        <w:t>INFERENCE:</w:t>
      </w:r>
      <w:r>
        <w:rPr>
          <w:b/>
        </w:rPr>
        <w:t xml:space="preserve"> </w:t>
      </w:r>
      <w:r>
        <w:t xml:space="preserve">The above table shows the Absolute Liquid Assets ratio of the company are 2019-20 is 0.0090, 2020-21 is 0.0070, 2021-22 is 0.0028, 2022-23 is 0.0024 and 2023-24 is </w:t>
      </w:r>
    </w:p>
    <w:p w:rsidR="00EB1C14" w:rsidRDefault="00EB1C14" w:rsidP="0023769F">
      <w:pPr>
        <w:jc w:val="both"/>
      </w:pPr>
      <w:r>
        <w:t>0.0026. Overall the company showing decreasing trend.</w:t>
      </w:r>
    </w:p>
    <w:p w:rsidR="00EB1C14" w:rsidRDefault="00EB1C14" w:rsidP="0023769F">
      <w:pPr>
        <w:jc w:val="both"/>
      </w:pPr>
    </w:p>
    <w:p w:rsidR="002062D7" w:rsidRDefault="002062D7" w:rsidP="0023769F">
      <w:pPr>
        <w:jc w:val="both"/>
        <w:rPr>
          <w:b/>
        </w:rPr>
      </w:pPr>
    </w:p>
    <w:p w:rsidR="002062D7" w:rsidRDefault="002062D7" w:rsidP="0023769F">
      <w:pPr>
        <w:jc w:val="both"/>
        <w:rPr>
          <w:b/>
        </w:rPr>
      </w:pPr>
    </w:p>
    <w:p w:rsidR="002062D7" w:rsidRDefault="002062D7" w:rsidP="0023769F">
      <w:pPr>
        <w:jc w:val="both"/>
        <w:rPr>
          <w:b/>
        </w:rPr>
      </w:pPr>
    </w:p>
    <w:p w:rsidR="002062D7" w:rsidRDefault="002062D7" w:rsidP="0023769F">
      <w:pPr>
        <w:jc w:val="both"/>
        <w:rPr>
          <w:b/>
        </w:rPr>
      </w:pPr>
    </w:p>
    <w:p w:rsidR="002062D7" w:rsidRDefault="002062D7" w:rsidP="0023769F">
      <w:pPr>
        <w:jc w:val="both"/>
        <w:rPr>
          <w:b/>
        </w:rPr>
      </w:pPr>
    </w:p>
    <w:p w:rsidR="002062D7" w:rsidRDefault="002062D7" w:rsidP="0023769F">
      <w:pPr>
        <w:jc w:val="both"/>
        <w:rPr>
          <w:b/>
        </w:rPr>
      </w:pPr>
    </w:p>
    <w:p w:rsidR="002062D7" w:rsidRDefault="002062D7" w:rsidP="0023769F">
      <w:pPr>
        <w:jc w:val="both"/>
        <w:rPr>
          <w:b/>
        </w:rPr>
      </w:pPr>
    </w:p>
    <w:p w:rsidR="002062D7" w:rsidRDefault="002062D7" w:rsidP="0023769F">
      <w:pPr>
        <w:jc w:val="both"/>
        <w:rPr>
          <w:b/>
        </w:rPr>
      </w:pPr>
    </w:p>
    <w:p w:rsidR="002062D7" w:rsidRDefault="002062D7" w:rsidP="0023769F">
      <w:pPr>
        <w:jc w:val="both"/>
        <w:rPr>
          <w:b/>
        </w:rPr>
      </w:pPr>
    </w:p>
    <w:p w:rsidR="00EB1C14" w:rsidRDefault="001572AE" w:rsidP="0023769F">
      <w:pPr>
        <w:jc w:val="both"/>
        <w:rPr>
          <w:b/>
        </w:rPr>
      </w:pPr>
      <w:r w:rsidRPr="001572AE">
        <w:rPr>
          <w:b/>
        </w:rPr>
        <w:t>Table-4: Debt Equity Ratio</w:t>
      </w:r>
    </w:p>
    <w:p w:rsidR="001572AE" w:rsidRDefault="001572AE" w:rsidP="0023769F">
      <w:pPr>
        <w:jc w:val="both"/>
        <w:rPr>
          <w:b/>
        </w:rPr>
      </w:pPr>
    </w:p>
    <w:tbl>
      <w:tblPr>
        <w:tblStyle w:val="TableGrid"/>
        <w:tblW w:w="0" w:type="auto"/>
        <w:tblLook w:val="04A0" w:firstRow="1" w:lastRow="0" w:firstColumn="1" w:lastColumn="0" w:noHBand="0" w:noVBand="1"/>
      </w:tblPr>
      <w:tblGrid>
        <w:gridCol w:w="2254"/>
        <w:gridCol w:w="2254"/>
        <w:gridCol w:w="2254"/>
        <w:gridCol w:w="2254"/>
      </w:tblGrid>
      <w:tr w:rsidR="002062D7" w:rsidRPr="00B53221" w:rsidTr="00585ADC">
        <w:tc>
          <w:tcPr>
            <w:tcW w:w="2254" w:type="dxa"/>
          </w:tcPr>
          <w:p w:rsidR="002062D7" w:rsidRPr="00B53221" w:rsidRDefault="002062D7" w:rsidP="0023769F">
            <w:pPr>
              <w:jc w:val="both"/>
              <w:rPr>
                <w:b/>
              </w:rPr>
            </w:pPr>
            <w:r w:rsidRPr="00B53221">
              <w:rPr>
                <w:b/>
              </w:rPr>
              <w:t>Years</w:t>
            </w:r>
          </w:p>
        </w:tc>
        <w:tc>
          <w:tcPr>
            <w:tcW w:w="2254" w:type="dxa"/>
          </w:tcPr>
          <w:p w:rsidR="002062D7" w:rsidRPr="00B53221" w:rsidRDefault="002062D7" w:rsidP="0023769F">
            <w:pPr>
              <w:jc w:val="both"/>
              <w:rPr>
                <w:b/>
              </w:rPr>
            </w:pPr>
            <w:r>
              <w:rPr>
                <w:b/>
              </w:rPr>
              <w:t>Lon</w:t>
            </w:r>
            <w:r w:rsidRPr="00B53221">
              <w:rPr>
                <w:b/>
              </w:rPr>
              <w:t>g-term debt</w:t>
            </w:r>
          </w:p>
        </w:tc>
        <w:tc>
          <w:tcPr>
            <w:tcW w:w="2254" w:type="dxa"/>
          </w:tcPr>
          <w:p w:rsidR="002062D7" w:rsidRPr="00B53221" w:rsidRDefault="002062D7" w:rsidP="0023769F">
            <w:pPr>
              <w:jc w:val="both"/>
              <w:rPr>
                <w:b/>
              </w:rPr>
            </w:pPr>
            <w:r w:rsidRPr="00B53221">
              <w:rPr>
                <w:b/>
              </w:rPr>
              <w:t>Shareholders fund</w:t>
            </w:r>
          </w:p>
        </w:tc>
        <w:tc>
          <w:tcPr>
            <w:tcW w:w="2254" w:type="dxa"/>
          </w:tcPr>
          <w:p w:rsidR="002062D7" w:rsidRPr="00B53221" w:rsidRDefault="002062D7" w:rsidP="0023769F">
            <w:pPr>
              <w:jc w:val="both"/>
              <w:rPr>
                <w:b/>
              </w:rPr>
            </w:pPr>
            <w:r w:rsidRPr="00B53221">
              <w:rPr>
                <w:b/>
              </w:rPr>
              <w:t>Debt-Equity ratio</w:t>
            </w:r>
          </w:p>
        </w:tc>
      </w:tr>
      <w:tr w:rsidR="002062D7" w:rsidTr="00585ADC">
        <w:tc>
          <w:tcPr>
            <w:tcW w:w="2254" w:type="dxa"/>
          </w:tcPr>
          <w:p w:rsidR="002062D7" w:rsidRPr="00806E58" w:rsidRDefault="002062D7" w:rsidP="0023769F">
            <w:pPr>
              <w:spacing w:line="360" w:lineRule="auto"/>
              <w:jc w:val="both"/>
            </w:pPr>
            <w:r w:rsidRPr="00806E58">
              <w:t>2019-20</w:t>
            </w:r>
          </w:p>
        </w:tc>
        <w:tc>
          <w:tcPr>
            <w:tcW w:w="2254" w:type="dxa"/>
          </w:tcPr>
          <w:p w:rsidR="002062D7" w:rsidRDefault="002062D7" w:rsidP="0023769F">
            <w:pPr>
              <w:jc w:val="both"/>
            </w:pPr>
            <w:r>
              <w:t>168.38</w:t>
            </w:r>
          </w:p>
        </w:tc>
        <w:tc>
          <w:tcPr>
            <w:tcW w:w="2254" w:type="dxa"/>
          </w:tcPr>
          <w:p w:rsidR="002062D7" w:rsidRDefault="002062D7" w:rsidP="0023769F">
            <w:pPr>
              <w:jc w:val="both"/>
            </w:pPr>
            <w:r>
              <w:t>24.06</w:t>
            </w:r>
          </w:p>
        </w:tc>
        <w:tc>
          <w:tcPr>
            <w:tcW w:w="2254" w:type="dxa"/>
          </w:tcPr>
          <w:p w:rsidR="002062D7" w:rsidRDefault="002062D7" w:rsidP="0023769F">
            <w:pPr>
              <w:jc w:val="both"/>
            </w:pPr>
            <w:r>
              <w:t>6.9983</w:t>
            </w:r>
          </w:p>
        </w:tc>
      </w:tr>
      <w:tr w:rsidR="002062D7" w:rsidTr="00585ADC">
        <w:tc>
          <w:tcPr>
            <w:tcW w:w="2254" w:type="dxa"/>
          </w:tcPr>
          <w:p w:rsidR="002062D7" w:rsidRPr="00806E58" w:rsidRDefault="002062D7" w:rsidP="0023769F">
            <w:pPr>
              <w:spacing w:line="360" w:lineRule="auto"/>
              <w:jc w:val="both"/>
            </w:pPr>
            <w:r w:rsidRPr="00806E58">
              <w:t>2020-21</w:t>
            </w:r>
          </w:p>
        </w:tc>
        <w:tc>
          <w:tcPr>
            <w:tcW w:w="2254" w:type="dxa"/>
          </w:tcPr>
          <w:p w:rsidR="002062D7" w:rsidRDefault="002062D7" w:rsidP="0023769F">
            <w:pPr>
              <w:jc w:val="both"/>
            </w:pPr>
            <w:r>
              <w:t>236.31</w:t>
            </w:r>
          </w:p>
        </w:tc>
        <w:tc>
          <w:tcPr>
            <w:tcW w:w="2254" w:type="dxa"/>
          </w:tcPr>
          <w:p w:rsidR="002062D7" w:rsidRDefault="002062D7" w:rsidP="0023769F">
            <w:pPr>
              <w:jc w:val="both"/>
            </w:pPr>
            <w:r>
              <w:t>24.06</w:t>
            </w:r>
          </w:p>
        </w:tc>
        <w:tc>
          <w:tcPr>
            <w:tcW w:w="2254" w:type="dxa"/>
          </w:tcPr>
          <w:p w:rsidR="002062D7" w:rsidRDefault="002062D7" w:rsidP="0023769F">
            <w:pPr>
              <w:jc w:val="both"/>
            </w:pPr>
            <w:r>
              <w:t>9.8217</w:t>
            </w:r>
          </w:p>
        </w:tc>
      </w:tr>
      <w:tr w:rsidR="002062D7" w:rsidTr="00585ADC">
        <w:tc>
          <w:tcPr>
            <w:tcW w:w="2254" w:type="dxa"/>
          </w:tcPr>
          <w:p w:rsidR="002062D7" w:rsidRPr="00806E58" w:rsidRDefault="002062D7" w:rsidP="0023769F">
            <w:pPr>
              <w:spacing w:line="360" w:lineRule="auto"/>
              <w:jc w:val="both"/>
            </w:pPr>
            <w:r w:rsidRPr="00806E58">
              <w:t>2021-22</w:t>
            </w:r>
          </w:p>
        </w:tc>
        <w:tc>
          <w:tcPr>
            <w:tcW w:w="2254" w:type="dxa"/>
          </w:tcPr>
          <w:p w:rsidR="002062D7" w:rsidRDefault="002062D7" w:rsidP="0023769F">
            <w:pPr>
              <w:jc w:val="both"/>
            </w:pPr>
            <w:r>
              <w:t>303.94</w:t>
            </w:r>
          </w:p>
        </w:tc>
        <w:tc>
          <w:tcPr>
            <w:tcW w:w="2254" w:type="dxa"/>
          </w:tcPr>
          <w:p w:rsidR="002062D7" w:rsidRDefault="002062D7" w:rsidP="0023769F">
            <w:pPr>
              <w:jc w:val="both"/>
            </w:pPr>
            <w:r>
              <w:t>24.06</w:t>
            </w:r>
          </w:p>
        </w:tc>
        <w:tc>
          <w:tcPr>
            <w:tcW w:w="2254" w:type="dxa"/>
          </w:tcPr>
          <w:p w:rsidR="002062D7" w:rsidRDefault="002062D7" w:rsidP="0023769F">
            <w:pPr>
              <w:jc w:val="both"/>
            </w:pPr>
            <w:r>
              <w:t>12.6326</w:t>
            </w:r>
          </w:p>
        </w:tc>
      </w:tr>
      <w:tr w:rsidR="002062D7" w:rsidTr="00585ADC">
        <w:tc>
          <w:tcPr>
            <w:tcW w:w="2254" w:type="dxa"/>
          </w:tcPr>
          <w:p w:rsidR="002062D7" w:rsidRPr="00806E58" w:rsidRDefault="002062D7" w:rsidP="0023769F">
            <w:pPr>
              <w:spacing w:line="360" w:lineRule="auto"/>
              <w:jc w:val="both"/>
            </w:pPr>
            <w:r w:rsidRPr="00806E58">
              <w:t>2022-23</w:t>
            </w:r>
          </w:p>
        </w:tc>
        <w:tc>
          <w:tcPr>
            <w:tcW w:w="2254" w:type="dxa"/>
          </w:tcPr>
          <w:p w:rsidR="002062D7" w:rsidRDefault="002062D7" w:rsidP="0023769F">
            <w:pPr>
              <w:jc w:val="both"/>
            </w:pPr>
            <w:r>
              <w:t>237.67</w:t>
            </w:r>
          </w:p>
        </w:tc>
        <w:tc>
          <w:tcPr>
            <w:tcW w:w="2254" w:type="dxa"/>
          </w:tcPr>
          <w:p w:rsidR="002062D7" w:rsidRDefault="002062D7" w:rsidP="0023769F">
            <w:pPr>
              <w:jc w:val="both"/>
            </w:pPr>
            <w:r>
              <w:t>24.06</w:t>
            </w:r>
          </w:p>
        </w:tc>
        <w:tc>
          <w:tcPr>
            <w:tcW w:w="2254" w:type="dxa"/>
          </w:tcPr>
          <w:p w:rsidR="002062D7" w:rsidRDefault="002062D7" w:rsidP="0023769F">
            <w:pPr>
              <w:jc w:val="both"/>
            </w:pPr>
            <w:r>
              <w:t>9.8782</w:t>
            </w:r>
          </w:p>
        </w:tc>
      </w:tr>
      <w:tr w:rsidR="002062D7" w:rsidTr="00585ADC">
        <w:tc>
          <w:tcPr>
            <w:tcW w:w="2254" w:type="dxa"/>
          </w:tcPr>
          <w:p w:rsidR="002062D7" w:rsidRPr="00806E58" w:rsidRDefault="002062D7" w:rsidP="0023769F">
            <w:pPr>
              <w:spacing w:line="360" w:lineRule="auto"/>
              <w:jc w:val="both"/>
            </w:pPr>
            <w:r w:rsidRPr="00806E58">
              <w:t>2023-24</w:t>
            </w:r>
          </w:p>
        </w:tc>
        <w:tc>
          <w:tcPr>
            <w:tcW w:w="2254" w:type="dxa"/>
          </w:tcPr>
          <w:p w:rsidR="002062D7" w:rsidRDefault="002062D7" w:rsidP="0023769F">
            <w:pPr>
              <w:jc w:val="both"/>
            </w:pPr>
            <w:r>
              <w:t>183.51</w:t>
            </w:r>
          </w:p>
        </w:tc>
        <w:tc>
          <w:tcPr>
            <w:tcW w:w="2254" w:type="dxa"/>
          </w:tcPr>
          <w:p w:rsidR="002062D7" w:rsidRDefault="002062D7" w:rsidP="0023769F">
            <w:pPr>
              <w:jc w:val="both"/>
            </w:pPr>
            <w:r>
              <w:t>24.06</w:t>
            </w:r>
          </w:p>
        </w:tc>
        <w:tc>
          <w:tcPr>
            <w:tcW w:w="2254" w:type="dxa"/>
          </w:tcPr>
          <w:p w:rsidR="002062D7" w:rsidRDefault="002062D7" w:rsidP="0023769F">
            <w:pPr>
              <w:jc w:val="both"/>
            </w:pPr>
            <w:r>
              <w:t>7.6272</w:t>
            </w:r>
          </w:p>
        </w:tc>
      </w:tr>
    </w:tbl>
    <w:p w:rsidR="002062D7" w:rsidRPr="0027229B" w:rsidRDefault="002062D7" w:rsidP="0023769F">
      <w:pPr>
        <w:ind w:firstLine="720"/>
        <w:jc w:val="both"/>
      </w:pPr>
    </w:p>
    <w:p w:rsidR="002062D7" w:rsidRDefault="002062D7" w:rsidP="0023769F">
      <w:pPr>
        <w:jc w:val="both"/>
        <w:rPr>
          <w:b/>
        </w:rPr>
      </w:pPr>
    </w:p>
    <w:p w:rsidR="002062D7" w:rsidRDefault="002062D7" w:rsidP="0023769F">
      <w:pPr>
        <w:jc w:val="both"/>
        <w:rPr>
          <w:b/>
        </w:rPr>
      </w:pPr>
      <w:r>
        <w:rPr>
          <w:b/>
        </w:rPr>
        <w:t xml:space="preserve">                </w:t>
      </w:r>
      <w:r>
        <w:rPr>
          <w:noProof/>
          <w:lang w:val="en-IN" w:eastAsia="en-IN"/>
        </w:rPr>
        <w:drawing>
          <wp:inline distT="0" distB="0" distL="0" distR="0" wp14:anchorId="48B5A212" wp14:editId="7B1766C0">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62D7" w:rsidRDefault="002062D7" w:rsidP="0023769F">
      <w:pPr>
        <w:jc w:val="both"/>
        <w:rPr>
          <w:b/>
        </w:rPr>
      </w:pPr>
    </w:p>
    <w:p w:rsidR="002062D7" w:rsidRPr="002062D7" w:rsidRDefault="002062D7" w:rsidP="0023769F">
      <w:pPr>
        <w:jc w:val="both"/>
        <w:rPr>
          <w:b/>
        </w:rPr>
      </w:pPr>
      <w:r w:rsidRPr="00D071E5">
        <w:rPr>
          <w:b/>
        </w:rPr>
        <w:t>INFERENCE:</w:t>
      </w:r>
      <w:r>
        <w:rPr>
          <w:b/>
        </w:rPr>
        <w:t xml:space="preserve"> </w:t>
      </w:r>
      <w:r>
        <w:t>The above table shows the Debt-Equity ratio of the company are 2019-20 is 6.9983, 2020-21 is 9.8217, 2021-22 is 12.6326, 2022-23 is 9.8782 and 2023-24 is 7.6272. Overall the company showing decreasing trend.</w:t>
      </w:r>
    </w:p>
    <w:p w:rsidR="001572AE" w:rsidRDefault="001572AE" w:rsidP="0023769F">
      <w:pPr>
        <w:jc w:val="both"/>
        <w:rPr>
          <w:b/>
        </w:rPr>
      </w:pPr>
    </w:p>
    <w:p w:rsidR="002062D7" w:rsidRDefault="002062D7" w:rsidP="0023769F">
      <w:pPr>
        <w:jc w:val="both"/>
        <w:rPr>
          <w:b/>
        </w:rPr>
      </w:pPr>
    </w:p>
    <w:p w:rsidR="002062D7" w:rsidRDefault="002062D7" w:rsidP="0023769F">
      <w:pPr>
        <w:jc w:val="both"/>
        <w:rPr>
          <w:b/>
        </w:rPr>
      </w:pPr>
      <w:r>
        <w:rPr>
          <w:b/>
        </w:rPr>
        <w:t>Table-5: Proprietary Ratio</w:t>
      </w:r>
    </w:p>
    <w:p w:rsidR="002062D7" w:rsidRDefault="002062D7" w:rsidP="0023769F">
      <w:pPr>
        <w:jc w:val="both"/>
        <w:rPr>
          <w:b/>
        </w:rPr>
      </w:pPr>
    </w:p>
    <w:tbl>
      <w:tblPr>
        <w:tblStyle w:val="TableGrid"/>
        <w:tblW w:w="0" w:type="auto"/>
        <w:tblLook w:val="04A0" w:firstRow="1" w:lastRow="0" w:firstColumn="1" w:lastColumn="0" w:noHBand="0" w:noVBand="1"/>
      </w:tblPr>
      <w:tblGrid>
        <w:gridCol w:w="2254"/>
        <w:gridCol w:w="2254"/>
        <w:gridCol w:w="2254"/>
        <w:gridCol w:w="2254"/>
      </w:tblGrid>
      <w:tr w:rsidR="002062D7" w:rsidTr="00585ADC">
        <w:tc>
          <w:tcPr>
            <w:tcW w:w="2254" w:type="dxa"/>
          </w:tcPr>
          <w:p w:rsidR="002062D7" w:rsidRDefault="002062D7" w:rsidP="0023769F">
            <w:pPr>
              <w:jc w:val="both"/>
              <w:rPr>
                <w:b/>
              </w:rPr>
            </w:pPr>
            <w:r>
              <w:rPr>
                <w:b/>
              </w:rPr>
              <w:t>Years</w:t>
            </w:r>
          </w:p>
        </w:tc>
        <w:tc>
          <w:tcPr>
            <w:tcW w:w="2254" w:type="dxa"/>
          </w:tcPr>
          <w:p w:rsidR="002062D7" w:rsidRDefault="002062D7" w:rsidP="0023769F">
            <w:pPr>
              <w:jc w:val="both"/>
              <w:rPr>
                <w:b/>
              </w:rPr>
            </w:pPr>
            <w:r>
              <w:rPr>
                <w:b/>
              </w:rPr>
              <w:t>Shareholders fund</w:t>
            </w:r>
          </w:p>
        </w:tc>
        <w:tc>
          <w:tcPr>
            <w:tcW w:w="2254" w:type="dxa"/>
          </w:tcPr>
          <w:p w:rsidR="002062D7" w:rsidRDefault="002062D7" w:rsidP="0023769F">
            <w:pPr>
              <w:jc w:val="both"/>
              <w:rPr>
                <w:b/>
              </w:rPr>
            </w:pPr>
            <w:r>
              <w:rPr>
                <w:b/>
              </w:rPr>
              <w:t>Total Tangible Assets</w:t>
            </w:r>
          </w:p>
        </w:tc>
        <w:tc>
          <w:tcPr>
            <w:tcW w:w="2254" w:type="dxa"/>
          </w:tcPr>
          <w:p w:rsidR="002062D7" w:rsidRDefault="002062D7" w:rsidP="0023769F">
            <w:pPr>
              <w:jc w:val="both"/>
              <w:rPr>
                <w:b/>
              </w:rPr>
            </w:pPr>
            <w:r>
              <w:rPr>
                <w:b/>
              </w:rPr>
              <w:t>Proprietary ratio</w:t>
            </w:r>
          </w:p>
        </w:tc>
      </w:tr>
      <w:tr w:rsidR="002062D7" w:rsidTr="00585ADC">
        <w:tc>
          <w:tcPr>
            <w:tcW w:w="2254" w:type="dxa"/>
          </w:tcPr>
          <w:p w:rsidR="002062D7" w:rsidRPr="00806E58" w:rsidRDefault="002062D7" w:rsidP="0023769F">
            <w:pPr>
              <w:spacing w:line="360" w:lineRule="auto"/>
              <w:jc w:val="both"/>
            </w:pPr>
            <w:r w:rsidRPr="00806E58">
              <w:t>2019-20</w:t>
            </w:r>
          </w:p>
        </w:tc>
        <w:tc>
          <w:tcPr>
            <w:tcW w:w="2254" w:type="dxa"/>
          </w:tcPr>
          <w:p w:rsidR="002062D7" w:rsidRDefault="002062D7" w:rsidP="0023769F">
            <w:pPr>
              <w:jc w:val="both"/>
            </w:pPr>
            <w:r>
              <w:t>24.06</w:t>
            </w:r>
          </w:p>
        </w:tc>
        <w:tc>
          <w:tcPr>
            <w:tcW w:w="2254" w:type="dxa"/>
          </w:tcPr>
          <w:p w:rsidR="002062D7" w:rsidRPr="00406A7D" w:rsidRDefault="002062D7" w:rsidP="0023769F">
            <w:pPr>
              <w:jc w:val="both"/>
            </w:pPr>
            <w:r>
              <w:t>1802.97</w:t>
            </w:r>
          </w:p>
        </w:tc>
        <w:tc>
          <w:tcPr>
            <w:tcW w:w="2254" w:type="dxa"/>
          </w:tcPr>
          <w:p w:rsidR="002062D7" w:rsidRPr="00406A7D" w:rsidRDefault="002062D7" w:rsidP="0023769F">
            <w:pPr>
              <w:jc w:val="both"/>
            </w:pPr>
            <w:r>
              <w:t>0.0133</w:t>
            </w:r>
          </w:p>
        </w:tc>
      </w:tr>
      <w:tr w:rsidR="002062D7" w:rsidTr="00585ADC">
        <w:tc>
          <w:tcPr>
            <w:tcW w:w="2254" w:type="dxa"/>
          </w:tcPr>
          <w:p w:rsidR="002062D7" w:rsidRPr="00806E58" w:rsidRDefault="002062D7" w:rsidP="0023769F">
            <w:pPr>
              <w:spacing w:line="360" w:lineRule="auto"/>
              <w:jc w:val="both"/>
            </w:pPr>
            <w:r w:rsidRPr="00806E58">
              <w:t>2020-21</w:t>
            </w:r>
          </w:p>
        </w:tc>
        <w:tc>
          <w:tcPr>
            <w:tcW w:w="2254" w:type="dxa"/>
          </w:tcPr>
          <w:p w:rsidR="002062D7" w:rsidRDefault="002062D7" w:rsidP="0023769F">
            <w:pPr>
              <w:jc w:val="both"/>
            </w:pPr>
            <w:r>
              <w:t>24.06</w:t>
            </w:r>
          </w:p>
        </w:tc>
        <w:tc>
          <w:tcPr>
            <w:tcW w:w="2254" w:type="dxa"/>
          </w:tcPr>
          <w:p w:rsidR="002062D7" w:rsidRPr="00406A7D" w:rsidRDefault="002062D7" w:rsidP="0023769F">
            <w:pPr>
              <w:jc w:val="both"/>
            </w:pPr>
            <w:r>
              <w:t>1761.56</w:t>
            </w:r>
          </w:p>
        </w:tc>
        <w:tc>
          <w:tcPr>
            <w:tcW w:w="2254" w:type="dxa"/>
          </w:tcPr>
          <w:p w:rsidR="002062D7" w:rsidRPr="00406A7D" w:rsidRDefault="002062D7" w:rsidP="0023769F">
            <w:pPr>
              <w:jc w:val="both"/>
            </w:pPr>
            <w:r>
              <w:t>0.0137</w:t>
            </w:r>
          </w:p>
        </w:tc>
      </w:tr>
      <w:tr w:rsidR="002062D7" w:rsidTr="00585ADC">
        <w:tc>
          <w:tcPr>
            <w:tcW w:w="2254" w:type="dxa"/>
          </w:tcPr>
          <w:p w:rsidR="002062D7" w:rsidRPr="00806E58" w:rsidRDefault="002062D7" w:rsidP="0023769F">
            <w:pPr>
              <w:spacing w:line="360" w:lineRule="auto"/>
              <w:jc w:val="both"/>
            </w:pPr>
            <w:r w:rsidRPr="00806E58">
              <w:t>2021-22</w:t>
            </w:r>
          </w:p>
        </w:tc>
        <w:tc>
          <w:tcPr>
            <w:tcW w:w="2254" w:type="dxa"/>
          </w:tcPr>
          <w:p w:rsidR="002062D7" w:rsidRDefault="002062D7" w:rsidP="0023769F">
            <w:pPr>
              <w:jc w:val="both"/>
            </w:pPr>
            <w:r>
              <w:t>24.06</w:t>
            </w:r>
          </w:p>
        </w:tc>
        <w:tc>
          <w:tcPr>
            <w:tcW w:w="2254" w:type="dxa"/>
          </w:tcPr>
          <w:p w:rsidR="002062D7" w:rsidRPr="00406A7D" w:rsidRDefault="002062D7" w:rsidP="0023769F">
            <w:pPr>
              <w:jc w:val="both"/>
            </w:pPr>
            <w:r>
              <w:t>2217.80</w:t>
            </w:r>
          </w:p>
        </w:tc>
        <w:tc>
          <w:tcPr>
            <w:tcW w:w="2254" w:type="dxa"/>
          </w:tcPr>
          <w:p w:rsidR="002062D7" w:rsidRPr="00406A7D" w:rsidRDefault="002062D7" w:rsidP="0023769F">
            <w:pPr>
              <w:jc w:val="both"/>
            </w:pPr>
            <w:r>
              <w:t>0.0108</w:t>
            </w:r>
          </w:p>
        </w:tc>
      </w:tr>
      <w:tr w:rsidR="002062D7" w:rsidTr="00585ADC">
        <w:tc>
          <w:tcPr>
            <w:tcW w:w="2254" w:type="dxa"/>
          </w:tcPr>
          <w:p w:rsidR="002062D7" w:rsidRPr="00806E58" w:rsidRDefault="002062D7" w:rsidP="0023769F">
            <w:pPr>
              <w:spacing w:line="360" w:lineRule="auto"/>
              <w:jc w:val="both"/>
            </w:pPr>
            <w:r w:rsidRPr="00806E58">
              <w:t>2022-23</w:t>
            </w:r>
          </w:p>
        </w:tc>
        <w:tc>
          <w:tcPr>
            <w:tcW w:w="2254" w:type="dxa"/>
          </w:tcPr>
          <w:p w:rsidR="002062D7" w:rsidRDefault="002062D7" w:rsidP="0023769F">
            <w:pPr>
              <w:jc w:val="both"/>
            </w:pPr>
            <w:r>
              <w:t>24.06</w:t>
            </w:r>
          </w:p>
        </w:tc>
        <w:tc>
          <w:tcPr>
            <w:tcW w:w="2254" w:type="dxa"/>
          </w:tcPr>
          <w:p w:rsidR="002062D7" w:rsidRPr="00406A7D" w:rsidRDefault="002062D7" w:rsidP="0023769F">
            <w:pPr>
              <w:jc w:val="both"/>
            </w:pPr>
            <w:r>
              <w:t>2729.18</w:t>
            </w:r>
          </w:p>
        </w:tc>
        <w:tc>
          <w:tcPr>
            <w:tcW w:w="2254" w:type="dxa"/>
          </w:tcPr>
          <w:p w:rsidR="002062D7" w:rsidRPr="00406A7D" w:rsidRDefault="002062D7" w:rsidP="0023769F">
            <w:pPr>
              <w:jc w:val="both"/>
            </w:pPr>
            <w:r>
              <w:t>0.0088</w:t>
            </w:r>
          </w:p>
        </w:tc>
      </w:tr>
      <w:tr w:rsidR="002062D7" w:rsidTr="00585ADC">
        <w:tc>
          <w:tcPr>
            <w:tcW w:w="2254" w:type="dxa"/>
          </w:tcPr>
          <w:p w:rsidR="002062D7" w:rsidRPr="00806E58" w:rsidRDefault="002062D7" w:rsidP="0023769F">
            <w:pPr>
              <w:spacing w:line="360" w:lineRule="auto"/>
              <w:jc w:val="both"/>
            </w:pPr>
            <w:r w:rsidRPr="00806E58">
              <w:t>2023-24</w:t>
            </w:r>
          </w:p>
        </w:tc>
        <w:tc>
          <w:tcPr>
            <w:tcW w:w="2254" w:type="dxa"/>
          </w:tcPr>
          <w:p w:rsidR="002062D7" w:rsidRDefault="002062D7" w:rsidP="0023769F">
            <w:pPr>
              <w:jc w:val="both"/>
            </w:pPr>
            <w:r>
              <w:t>24.06</w:t>
            </w:r>
          </w:p>
        </w:tc>
        <w:tc>
          <w:tcPr>
            <w:tcW w:w="2254" w:type="dxa"/>
          </w:tcPr>
          <w:p w:rsidR="002062D7" w:rsidRPr="00406A7D" w:rsidRDefault="002062D7" w:rsidP="0023769F">
            <w:pPr>
              <w:jc w:val="both"/>
            </w:pPr>
            <w:r>
              <w:t>2767.32</w:t>
            </w:r>
          </w:p>
        </w:tc>
        <w:tc>
          <w:tcPr>
            <w:tcW w:w="2254" w:type="dxa"/>
          </w:tcPr>
          <w:p w:rsidR="002062D7" w:rsidRPr="00406A7D" w:rsidRDefault="002062D7" w:rsidP="0023769F">
            <w:pPr>
              <w:jc w:val="both"/>
            </w:pPr>
            <w:r>
              <w:t>0.0087</w:t>
            </w:r>
          </w:p>
        </w:tc>
      </w:tr>
    </w:tbl>
    <w:p w:rsidR="002062D7" w:rsidRDefault="002062D7" w:rsidP="0023769F">
      <w:pPr>
        <w:jc w:val="both"/>
        <w:rPr>
          <w:b/>
        </w:rPr>
      </w:pPr>
    </w:p>
    <w:p w:rsidR="002062D7" w:rsidRDefault="002062D7" w:rsidP="0023769F">
      <w:pPr>
        <w:jc w:val="both"/>
        <w:rPr>
          <w:b/>
        </w:rPr>
      </w:pPr>
    </w:p>
    <w:p w:rsidR="002062D7" w:rsidRDefault="002062D7" w:rsidP="0023769F">
      <w:pPr>
        <w:jc w:val="both"/>
        <w:rPr>
          <w:b/>
        </w:rPr>
      </w:pPr>
    </w:p>
    <w:p w:rsidR="002062D7" w:rsidRDefault="002062D7" w:rsidP="0023769F">
      <w:pPr>
        <w:jc w:val="both"/>
        <w:rPr>
          <w:b/>
        </w:rPr>
      </w:pPr>
      <w:r>
        <w:rPr>
          <w:b/>
        </w:rPr>
        <w:t xml:space="preserve">                     </w:t>
      </w:r>
      <w:r>
        <w:rPr>
          <w:noProof/>
          <w:lang w:val="en-IN" w:eastAsia="en-IN"/>
        </w:rPr>
        <w:drawing>
          <wp:inline distT="0" distB="0" distL="0" distR="0" wp14:anchorId="7A34C883" wp14:editId="55FD5328">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62D7" w:rsidRDefault="002062D7" w:rsidP="0023769F">
      <w:pPr>
        <w:jc w:val="both"/>
        <w:rPr>
          <w:b/>
        </w:rPr>
      </w:pPr>
    </w:p>
    <w:p w:rsidR="002062D7" w:rsidRPr="002062D7" w:rsidRDefault="002062D7" w:rsidP="0023769F">
      <w:pPr>
        <w:jc w:val="both"/>
        <w:rPr>
          <w:b/>
        </w:rPr>
      </w:pPr>
      <w:r w:rsidRPr="00D071E5">
        <w:rPr>
          <w:b/>
        </w:rPr>
        <w:t>INFERENCE:</w:t>
      </w:r>
      <w:r>
        <w:rPr>
          <w:b/>
        </w:rPr>
        <w:t xml:space="preserve"> </w:t>
      </w:r>
      <w:r>
        <w:t>The above table shows the Proprietary ratio of the company are 2019-20 is 0.0133, 2020-21 is 0.0137, 2021-22 is 0.0108, 2022-23 is 0.0088 and 2023-24 is 0.0087. Overall the company showing decreasing trend.</w:t>
      </w:r>
    </w:p>
    <w:p w:rsidR="002062D7" w:rsidRDefault="002062D7" w:rsidP="0023769F">
      <w:pPr>
        <w:jc w:val="both"/>
        <w:rPr>
          <w:b/>
        </w:rPr>
      </w:pPr>
    </w:p>
    <w:p w:rsidR="00504B98" w:rsidRDefault="00504B98" w:rsidP="0023769F">
      <w:pPr>
        <w:jc w:val="both"/>
        <w:rPr>
          <w:b/>
        </w:rPr>
      </w:pPr>
      <w:r>
        <w:rPr>
          <w:b/>
        </w:rPr>
        <w:t xml:space="preserve">VII. </w:t>
      </w:r>
      <w:r w:rsidR="00EC4F05">
        <w:rPr>
          <w:b/>
        </w:rPr>
        <w:t>CONCLUSION</w:t>
      </w:r>
    </w:p>
    <w:p w:rsidR="001572AE" w:rsidRDefault="001572AE" w:rsidP="0023769F">
      <w:pPr>
        <w:jc w:val="both"/>
        <w:rPr>
          <w:b/>
        </w:rPr>
      </w:pPr>
    </w:p>
    <w:p w:rsidR="00504B98" w:rsidRPr="00FC19F9" w:rsidRDefault="00504B98" w:rsidP="0023769F">
      <w:pPr>
        <w:pStyle w:val="NormalWeb"/>
        <w:spacing w:line="360" w:lineRule="auto"/>
        <w:jc w:val="both"/>
      </w:pPr>
      <w:r w:rsidRPr="00FC19F9">
        <w:t>In conclusion, working capital management, effective working capital management is vital for the financial health and sustainability of any organization. By efficiently managing its current assets and liabilities, a company can ensure smooth operations, minimize financial risks, and seize opportunities for growth. Through careful monitoring and optimization of working capital levels, businesses can enhance liquidity, reduce financing costs, and maximize profitability. Ultimately, a well-executed working capital management strategy enables companies to navigate economic uncertainties, strengthen their competitive position, and create long-term value for stakeholders. Furthermore, proactive working capital management fosters improved relationships with suppliers, creditors, and other stakeholders, enhancing trust and reliability within the business ecosystem. By optimizing cash flow cycles and minimizing idle resources, organizations can allocate capital more efficiently towards strategic investments and innovation initiatives.</w:t>
      </w:r>
    </w:p>
    <w:p w:rsidR="00504B98" w:rsidRDefault="00504B98" w:rsidP="0023769F">
      <w:pPr>
        <w:spacing w:after="100" w:afterAutospacing="1"/>
        <w:jc w:val="both"/>
        <w:outlineLvl w:val="0"/>
        <w:rPr>
          <w:b/>
          <w:color w:val="333333"/>
          <w:sz w:val="28"/>
          <w:szCs w:val="28"/>
        </w:rPr>
      </w:pPr>
      <w:r w:rsidRPr="00C46DB3">
        <w:rPr>
          <w:b/>
          <w:color w:val="333333"/>
          <w:sz w:val="28"/>
          <w:szCs w:val="28"/>
        </w:rPr>
        <w:t>ACKNOWLEDGEMENT</w:t>
      </w:r>
    </w:p>
    <w:p w:rsidR="00504B98" w:rsidRDefault="00EC4F05" w:rsidP="0023769F">
      <w:pPr>
        <w:spacing w:after="100" w:afterAutospacing="1"/>
        <w:jc w:val="both"/>
        <w:outlineLvl w:val="0"/>
        <w:rPr>
          <w:color w:val="000000" w:themeColor="text1"/>
        </w:rPr>
      </w:pPr>
      <w:r w:rsidRPr="00EC4F05">
        <w:rPr>
          <w:color w:val="333333"/>
        </w:rPr>
        <w:t>The author is greatful to</w:t>
      </w:r>
      <w:r w:rsidRPr="00EC4F05">
        <w:rPr>
          <w:b/>
          <w:color w:val="000000" w:themeColor="text1"/>
        </w:rPr>
        <w:t xml:space="preserve">  </w:t>
      </w:r>
      <w:r w:rsidRPr="00EC4F05">
        <w:rPr>
          <w:color w:val="000000" w:themeColor="text1"/>
        </w:rPr>
        <w:t>Dr. N.Venkateswaran at Panimalar Engineering College,Chennai</w:t>
      </w:r>
      <w:r>
        <w:rPr>
          <w:color w:val="000000" w:themeColor="text1"/>
        </w:rPr>
        <w:t>.</w:t>
      </w:r>
    </w:p>
    <w:p w:rsidR="00EC4F05" w:rsidRDefault="00EC4F05" w:rsidP="0023769F">
      <w:pPr>
        <w:spacing w:after="100" w:afterAutospacing="1"/>
        <w:jc w:val="both"/>
        <w:outlineLvl w:val="0"/>
        <w:rPr>
          <w:color w:val="000000" w:themeColor="text1"/>
        </w:rPr>
      </w:pPr>
    </w:p>
    <w:p w:rsidR="00EC4F05" w:rsidRDefault="00EC4F05" w:rsidP="0023769F">
      <w:pPr>
        <w:spacing w:after="100" w:afterAutospacing="1"/>
        <w:jc w:val="both"/>
        <w:outlineLvl w:val="0"/>
        <w:rPr>
          <w:color w:val="000000" w:themeColor="text1"/>
        </w:rPr>
      </w:pPr>
    </w:p>
    <w:p w:rsidR="00EC4F05" w:rsidRPr="00EC4F05" w:rsidRDefault="00EC4F05" w:rsidP="0023769F">
      <w:pPr>
        <w:spacing w:after="100" w:afterAutospacing="1"/>
        <w:jc w:val="both"/>
        <w:outlineLvl w:val="0"/>
        <w:rPr>
          <w:b/>
          <w:color w:val="333333"/>
        </w:rPr>
      </w:pPr>
      <w:r w:rsidRPr="00EC4F05">
        <w:rPr>
          <w:b/>
          <w:color w:val="333333"/>
        </w:rPr>
        <w:t>REFERENCES</w:t>
      </w:r>
    </w:p>
    <w:p w:rsidR="00EC4F05" w:rsidRPr="00FB6362" w:rsidRDefault="00EC4F05" w:rsidP="0023769F">
      <w:pPr>
        <w:pStyle w:val="ListParagraph"/>
        <w:numPr>
          <w:ilvl w:val="0"/>
          <w:numId w:val="9"/>
        </w:numPr>
        <w:tabs>
          <w:tab w:val="left" w:pos="3080"/>
          <w:tab w:val="center" w:pos="4513"/>
        </w:tabs>
        <w:spacing w:before="100" w:beforeAutospacing="1" w:after="100" w:afterAutospacing="1" w:line="360" w:lineRule="auto"/>
        <w:jc w:val="both"/>
        <w:rPr>
          <w:lang w:eastAsia="en-IN"/>
        </w:rPr>
      </w:pPr>
      <w:r w:rsidRPr="00E90D8B">
        <w:rPr>
          <w:bCs/>
        </w:rPr>
        <w:t xml:space="preserve">Alexandra Rimo, Podjaman Panbunyuen 2022, The effect of company characteristics on working capital management: A quantitative study of Swedish listed companies, </w:t>
      </w:r>
      <w:r>
        <w:t>Vol. 3, No. 52, 2022</w:t>
      </w:r>
    </w:p>
    <w:p w:rsidR="00EC4F05" w:rsidRDefault="00EC4F05" w:rsidP="0023769F">
      <w:pPr>
        <w:pStyle w:val="ListParagraph"/>
        <w:numPr>
          <w:ilvl w:val="0"/>
          <w:numId w:val="9"/>
        </w:numPr>
        <w:spacing w:after="160" w:line="360" w:lineRule="auto"/>
        <w:jc w:val="both"/>
        <w:rPr>
          <w:bCs/>
        </w:rPr>
      </w:pPr>
      <w:r w:rsidRPr="0081623C">
        <w:rPr>
          <w:bCs/>
        </w:rPr>
        <w:t>Bagh Tanveer, 2018</w:t>
      </w:r>
      <w:r>
        <w:rPr>
          <w:bCs/>
        </w:rPr>
        <w:t>,</w:t>
      </w:r>
      <w:r w:rsidRPr="0081623C">
        <w:rPr>
          <w:bCs/>
        </w:rPr>
        <w:t>The impact of working capital management on firms financial performance: evidence from Pakistan, International Journal of Economics and Fin</w:t>
      </w:r>
      <w:r>
        <w:rPr>
          <w:bCs/>
        </w:rPr>
        <w:t>ancial Issues 6 (3), 1097-1105</w:t>
      </w:r>
      <w:r w:rsidRPr="0081623C">
        <w:rPr>
          <w:bCs/>
        </w:rPr>
        <w:t>, 2018</w:t>
      </w:r>
    </w:p>
    <w:p w:rsidR="00EC4F05" w:rsidRPr="00E90D8B" w:rsidRDefault="00EC4F05" w:rsidP="0023769F">
      <w:pPr>
        <w:pStyle w:val="ListParagraph"/>
        <w:numPr>
          <w:ilvl w:val="0"/>
          <w:numId w:val="9"/>
        </w:numPr>
        <w:autoSpaceDE w:val="0"/>
        <w:autoSpaceDN w:val="0"/>
        <w:adjustRightInd w:val="0"/>
        <w:spacing w:line="360" w:lineRule="auto"/>
        <w:jc w:val="both"/>
      </w:pPr>
      <w:r w:rsidRPr="00360774">
        <w:rPr>
          <w:bCs/>
        </w:rPr>
        <w:t>CMA Panigrahi</w:t>
      </w:r>
      <w:r>
        <w:rPr>
          <w:bCs/>
        </w:rPr>
        <w:t xml:space="preserve"> 2022</w:t>
      </w:r>
      <w:r w:rsidRPr="00360774">
        <w:rPr>
          <w:bCs/>
        </w:rPr>
        <w:t xml:space="preserve"> </w:t>
      </w:r>
      <w:r>
        <w:rPr>
          <w:bCs/>
        </w:rPr>
        <w:t>,</w:t>
      </w:r>
      <w:r w:rsidRPr="00360774">
        <w:rPr>
          <w:bCs/>
        </w:rPr>
        <w:t>Impact of Working Capital Management on Profitability–A Case Study of ACC Ltd, Asi</w:t>
      </w:r>
      <w:r>
        <w:rPr>
          <w:bCs/>
        </w:rPr>
        <w:t>an Journal of Management 3 (4),</w:t>
      </w:r>
      <w:r w:rsidRPr="00E90D8B">
        <w:t xml:space="preserve"> Vol. 6 Iss: 3, pp.57 – 89.</w:t>
      </w:r>
    </w:p>
    <w:p w:rsidR="00EC4F05" w:rsidRDefault="00EC4F05" w:rsidP="0023769F">
      <w:pPr>
        <w:pStyle w:val="ListParagraph"/>
        <w:numPr>
          <w:ilvl w:val="0"/>
          <w:numId w:val="9"/>
        </w:numPr>
        <w:spacing w:after="160" w:line="360" w:lineRule="auto"/>
        <w:jc w:val="both"/>
        <w:rPr>
          <w:bCs/>
        </w:rPr>
      </w:pPr>
      <w:r w:rsidRPr="00E90D8B">
        <w:rPr>
          <w:bCs/>
        </w:rPr>
        <w:t>Daniel Kamau, Amos Ayuo, 2021</w:t>
      </w:r>
      <w:r>
        <w:rPr>
          <w:bCs/>
        </w:rPr>
        <w:t xml:space="preserve">, </w:t>
      </w:r>
      <w:r w:rsidRPr="00040A63">
        <w:rPr>
          <w:bCs/>
        </w:rPr>
        <w:t>The Effects of Working Capital Management on Organizational Performance-A Survey of Manufacturing Firms in Eldoret Municipality, Research Journal of Finan</w:t>
      </w:r>
      <w:r>
        <w:rPr>
          <w:bCs/>
        </w:rPr>
        <w:t>ce and Accounting 5 (5), 72-80,2021</w:t>
      </w:r>
    </w:p>
    <w:p w:rsidR="00EC4F05" w:rsidRDefault="00EC4F05" w:rsidP="0023769F">
      <w:pPr>
        <w:pStyle w:val="ListParagraph"/>
        <w:numPr>
          <w:ilvl w:val="0"/>
          <w:numId w:val="9"/>
        </w:numPr>
        <w:tabs>
          <w:tab w:val="left" w:pos="3080"/>
          <w:tab w:val="center" w:pos="4513"/>
        </w:tabs>
        <w:spacing w:before="100" w:beforeAutospacing="1" w:after="100" w:afterAutospacing="1" w:line="360" w:lineRule="auto"/>
        <w:jc w:val="both"/>
        <w:rPr>
          <w:lang w:eastAsia="en-IN"/>
        </w:rPr>
      </w:pPr>
      <w:r w:rsidRPr="00FF217B">
        <w:rPr>
          <w:bCs/>
        </w:rPr>
        <w:t>Muia Vincent Makau, Mwanzia M Stephen, 2021</w:t>
      </w:r>
      <w:r>
        <w:rPr>
          <w:bCs/>
        </w:rPr>
        <w:t xml:space="preserve">, </w:t>
      </w:r>
      <w:r w:rsidRPr="00FF217B">
        <w:rPr>
          <w:bCs/>
        </w:rPr>
        <w:t>Effect of Working Capital Management on Financial Performance: A Case Study of Listed Manufacturing Firms at Nairobi Securities Exchange, Kenya, International Journal of Management,</w:t>
      </w:r>
      <w:r>
        <w:rPr>
          <w:bCs/>
        </w:rPr>
        <w:t xml:space="preserve"> </w:t>
      </w:r>
      <w:r w:rsidRPr="00040A63">
        <w:t>Vol. 3, No. 52</w:t>
      </w:r>
      <w:r w:rsidRPr="00040A63">
        <w:rPr>
          <w:lang w:eastAsia="en-IN"/>
        </w:rPr>
        <w:t xml:space="preserve"> </w:t>
      </w:r>
      <w:r>
        <w:rPr>
          <w:lang w:eastAsia="en-IN"/>
        </w:rPr>
        <w:t>,2021</w:t>
      </w:r>
    </w:p>
    <w:p w:rsidR="00EC4F05" w:rsidRPr="0081623C" w:rsidRDefault="00EC4F05" w:rsidP="0023769F">
      <w:pPr>
        <w:pStyle w:val="ListParagraph"/>
        <w:numPr>
          <w:ilvl w:val="0"/>
          <w:numId w:val="9"/>
        </w:numPr>
        <w:spacing w:after="160" w:line="360" w:lineRule="auto"/>
        <w:jc w:val="both"/>
        <w:rPr>
          <w:lang w:eastAsia="en-IN"/>
        </w:rPr>
      </w:pPr>
      <w:r w:rsidRPr="0081623C">
        <w:rPr>
          <w:bCs/>
        </w:rPr>
        <w:t>Nor Edi Azhar Binti Mohama</w:t>
      </w:r>
      <w:r>
        <w:rPr>
          <w:bCs/>
        </w:rPr>
        <w:t xml:space="preserve">d, Noriza Binti Mohd Saad, 2020, </w:t>
      </w:r>
      <w:r w:rsidRPr="0081623C">
        <w:rPr>
          <w:bCs/>
        </w:rPr>
        <w:t>Working capital management: The effect of market valuation and profitability in Malaysia, International journal of Business and Management 5 (11), 140</w:t>
      </w:r>
      <w:r>
        <w:rPr>
          <w:bCs/>
        </w:rPr>
        <w:t xml:space="preserve"> </w:t>
      </w:r>
      <w:r w:rsidRPr="0081623C">
        <w:t>Vol. 3, No. 52</w:t>
      </w:r>
      <w:r w:rsidRPr="0081623C">
        <w:rPr>
          <w:bCs/>
        </w:rPr>
        <w:t>,</w:t>
      </w:r>
      <w:r>
        <w:rPr>
          <w:bCs/>
        </w:rPr>
        <w:t xml:space="preserve"> 2020</w:t>
      </w:r>
    </w:p>
    <w:p w:rsidR="00EC4F05" w:rsidRPr="00CF286F" w:rsidRDefault="00EC4F05" w:rsidP="0023769F">
      <w:pPr>
        <w:pStyle w:val="ListParagraph"/>
        <w:numPr>
          <w:ilvl w:val="0"/>
          <w:numId w:val="9"/>
        </w:numPr>
        <w:spacing w:after="160" w:line="360" w:lineRule="auto"/>
        <w:jc w:val="both"/>
        <w:rPr>
          <w:bCs/>
        </w:rPr>
      </w:pPr>
      <w:r w:rsidRPr="00CF286F">
        <w:rPr>
          <w:bCs/>
        </w:rPr>
        <w:t>Nahid Maleki Nia, Hosein Asgari Alouj, A Gezalbash, 2018</w:t>
      </w:r>
      <w:r>
        <w:rPr>
          <w:bCs/>
        </w:rPr>
        <w:t xml:space="preserve">, </w:t>
      </w:r>
      <w:r w:rsidRPr="00CF286F">
        <w:rPr>
          <w:bCs/>
        </w:rPr>
        <w:t xml:space="preserve">The Effect of Working Capital Development on Financial Performance of Organization, SSRN, </w:t>
      </w:r>
      <w:r>
        <w:rPr>
          <w:bCs/>
        </w:rPr>
        <w:t>1097-1105,2018</w:t>
      </w:r>
    </w:p>
    <w:p w:rsidR="00EC4F05" w:rsidRPr="00360774" w:rsidRDefault="00EC4F05" w:rsidP="0023769F">
      <w:pPr>
        <w:pStyle w:val="ListParagraph"/>
        <w:numPr>
          <w:ilvl w:val="0"/>
          <w:numId w:val="9"/>
        </w:numPr>
        <w:autoSpaceDE w:val="0"/>
        <w:autoSpaceDN w:val="0"/>
        <w:adjustRightInd w:val="0"/>
        <w:spacing w:line="360" w:lineRule="auto"/>
        <w:jc w:val="both"/>
      </w:pPr>
      <w:r w:rsidRPr="00FF217B">
        <w:rPr>
          <w:bCs/>
        </w:rPr>
        <w:t xml:space="preserve">Sushma </w:t>
      </w:r>
      <w:r>
        <w:rPr>
          <w:bCs/>
        </w:rPr>
        <w:t xml:space="preserve">Vishnani, Bhupesh Kr Shah 2023, </w:t>
      </w:r>
      <w:r w:rsidRPr="00360774">
        <w:rPr>
          <w:bCs/>
        </w:rPr>
        <w:t>The Working Capital Management: An impact of working capital management policies on corporate performance, Gl</w:t>
      </w:r>
      <w:r>
        <w:rPr>
          <w:bCs/>
        </w:rPr>
        <w:t xml:space="preserve">obal Journal of finance </w:t>
      </w:r>
      <w:r w:rsidRPr="00360774">
        <w:rPr>
          <w:bCs/>
        </w:rPr>
        <w:t xml:space="preserve"> </w:t>
      </w:r>
      <w:r>
        <w:t>Vol.4, Issue 7, Aug 2023</w:t>
      </w:r>
      <w:r w:rsidRPr="00360774">
        <w:t>.</w:t>
      </w:r>
    </w:p>
    <w:p w:rsidR="00EC4F05" w:rsidRPr="00EC4F05" w:rsidRDefault="00EC4F05" w:rsidP="0023769F">
      <w:pPr>
        <w:spacing w:after="100" w:afterAutospacing="1"/>
        <w:jc w:val="both"/>
        <w:outlineLvl w:val="0"/>
        <w:rPr>
          <w:color w:val="333333"/>
        </w:rPr>
      </w:pPr>
    </w:p>
    <w:p w:rsidR="00504B98" w:rsidRDefault="00504B98" w:rsidP="0023769F">
      <w:pPr>
        <w:spacing w:before="100" w:beforeAutospacing="1" w:after="100" w:afterAutospacing="1" w:line="360" w:lineRule="auto"/>
        <w:jc w:val="both"/>
        <w:rPr>
          <w:lang w:eastAsia="en-IN"/>
        </w:rPr>
      </w:pPr>
    </w:p>
    <w:p w:rsidR="00504B98" w:rsidRDefault="00504B98" w:rsidP="0023769F">
      <w:pPr>
        <w:jc w:val="both"/>
        <w:rPr>
          <w:b/>
        </w:rPr>
      </w:pPr>
    </w:p>
    <w:p w:rsidR="001572AE" w:rsidRPr="001572AE" w:rsidRDefault="001572AE" w:rsidP="00EB1C14">
      <w:pPr>
        <w:rPr>
          <w:b/>
        </w:rPr>
      </w:pPr>
    </w:p>
    <w:p w:rsidR="00EB1C14" w:rsidRDefault="00EB1C14" w:rsidP="00EB1C14"/>
    <w:p w:rsidR="00EB1C14" w:rsidRDefault="00EB1C14" w:rsidP="00EB1C14"/>
    <w:p w:rsidR="00EB1C14" w:rsidRDefault="00EB1C14" w:rsidP="00EB1C14"/>
    <w:p w:rsidR="00EB1C14" w:rsidRDefault="00EB1C14" w:rsidP="00EB1C14"/>
    <w:p w:rsidR="005331AF" w:rsidRDefault="005331AF" w:rsidP="005331AF">
      <w:pPr>
        <w:jc w:val="both"/>
      </w:pPr>
    </w:p>
    <w:p w:rsidR="001572AE" w:rsidRDefault="001572AE" w:rsidP="005331AF">
      <w:pPr>
        <w:jc w:val="both"/>
      </w:pPr>
    </w:p>
    <w:p w:rsidR="001572AE" w:rsidRDefault="001572AE" w:rsidP="005331AF">
      <w:pPr>
        <w:jc w:val="both"/>
      </w:pPr>
    </w:p>
    <w:p w:rsidR="001572AE" w:rsidRDefault="001572AE" w:rsidP="005331AF">
      <w:pPr>
        <w:jc w:val="both"/>
      </w:pPr>
    </w:p>
    <w:p w:rsidR="001572AE" w:rsidRDefault="001572AE" w:rsidP="005331AF">
      <w:pPr>
        <w:jc w:val="both"/>
        <w:rPr>
          <w:b/>
          <w:bCs/>
        </w:rPr>
      </w:pPr>
    </w:p>
    <w:p w:rsidR="005331AF" w:rsidRPr="005331AF" w:rsidRDefault="005331AF" w:rsidP="005331AF">
      <w:pPr>
        <w:jc w:val="both"/>
        <w:rPr>
          <w:b/>
          <w:bCs/>
        </w:rPr>
      </w:pPr>
    </w:p>
    <w:p w:rsidR="00796C2A" w:rsidRDefault="00796C2A" w:rsidP="00D605BA">
      <w:pPr>
        <w:spacing w:line="360" w:lineRule="auto"/>
        <w:jc w:val="both"/>
      </w:pPr>
    </w:p>
    <w:p w:rsidR="00796C2A" w:rsidRDefault="00796C2A" w:rsidP="00D605BA">
      <w:pPr>
        <w:spacing w:line="360" w:lineRule="auto"/>
        <w:jc w:val="both"/>
      </w:pPr>
    </w:p>
    <w:p w:rsidR="00796C2A" w:rsidRDefault="00796C2A" w:rsidP="00D605BA">
      <w:pPr>
        <w:spacing w:line="360" w:lineRule="auto"/>
        <w:jc w:val="both"/>
      </w:pPr>
    </w:p>
    <w:p w:rsidR="00796C2A" w:rsidRDefault="00796C2A" w:rsidP="00D605BA">
      <w:pPr>
        <w:spacing w:line="360" w:lineRule="auto"/>
        <w:jc w:val="both"/>
      </w:pPr>
    </w:p>
    <w:p w:rsidR="00796C2A" w:rsidRDefault="00796C2A" w:rsidP="00D605BA">
      <w:pPr>
        <w:spacing w:line="360" w:lineRule="auto"/>
        <w:jc w:val="both"/>
      </w:pPr>
    </w:p>
    <w:p w:rsidR="00D605BA" w:rsidRPr="00D605BA" w:rsidRDefault="00D605BA"/>
    <w:sectPr w:rsidR="00D605BA" w:rsidRPr="00D605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5B7" w:rsidRDefault="00C675B7" w:rsidP="00D605BA">
      <w:r>
        <w:separator/>
      </w:r>
    </w:p>
  </w:endnote>
  <w:endnote w:type="continuationSeparator" w:id="0">
    <w:p w:rsidR="00C675B7" w:rsidRDefault="00C675B7" w:rsidP="00D6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5B7" w:rsidRDefault="00C675B7" w:rsidP="00D605BA">
      <w:r>
        <w:separator/>
      </w:r>
    </w:p>
  </w:footnote>
  <w:footnote w:type="continuationSeparator" w:id="0">
    <w:p w:rsidR="00C675B7" w:rsidRDefault="00C675B7" w:rsidP="00D60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D3454"/>
    <w:multiLevelType w:val="hybridMultilevel"/>
    <w:tmpl w:val="54A0E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02A02"/>
    <w:multiLevelType w:val="hybridMultilevel"/>
    <w:tmpl w:val="8AE61566"/>
    <w:lvl w:ilvl="0" w:tplc="014AF0C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730B6D"/>
    <w:multiLevelType w:val="multilevel"/>
    <w:tmpl w:val="CFEE803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7417625"/>
    <w:multiLevelType w:val="hybridMultilevel"/>
    <w:tmpl w:val="D44883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43977B9"/>
    <w:multiLevelType w:val="hybridMultilevel"/>
    <w:tmpl w:val="337EF230"/>
    <w:lvl w:ilvl="0" w:tplc="65D40620">
      <w:start w:val="1"/>
      <w:numFmt w:val="decimal"/>
      <w:lvlText w:val="%1-"/>
      <w:lvlJc w:val="left"/>
      <w:pPr>
        <w:ind w:left="1560" w:hanging="360"/>
      </w:pPr>
      <w:rPr>
        <w:rFonts w:hint="default"/>
      </w:rPr>
    </w:lvl>
    <w:lvl w:ilvl="1" w:tplc="40090019" w:tentative="1">
      <w:start w:val="1"/>
      <w:numFmt w:val="lowerLetter"/>
      <w:lvlText w:val="%2."/>
      <w:lvlJc w:val="left"/>
      <w:pPr>
        <w:ind w:left="2280" w:hanging="360"/>
      </w:pPr>
    </w:lvl>
    <w:lvl w:ilvl="2" w:tplc="4009001B" w:tentative="1">
      <w:start w:val="1"/>
      <w:numFmt w:val="lowerRoman"/>
      <w:lvlText w:val="%3."/>
      <w:lvlJc w:val="right"/>
      <w:pPr>
        <w:ind w:left="3000" w:hanging="180"/>
      </w:pPr>
    </w:lvl>
    <w:lvl w:ilvl="3" w:tplc="4009000F" w:tentative="1">
      <w:start w:val="1"/>
      <w:numFmt w:val="decimal"/>
      <w:lvlText w:val="%4."/>
      <w:lvlJc w:val="left"/>
      <w:pPr>
        <w:ind w:left="3720" w:hanging="360"/>
      </w:pPr>
    </w:lvl>
    <w:lvl w:ilvl="4" w:tplc="40090019" w:tentative="1">
      <w:start w:val="1"/>
      <w:numFmt w:val="lowerLetter"/>
      <w:lvlText w:val="%5."/>
      <w:lvlJc w:val="left"/>
      <w:pPr>
        <w:ind w:left="4440" w:hanging="360"/>
      </w:pPr>
    </w:lvl>
    <w:lvl w:ilvl="5" w:tplc="4009001B" w:tentative="1">
      <w:start w:val="1"/>
      <w:numFmt w:val="lowerRoman"/>
      <w:lvlText w:val="%6."/>
      <w:lvlJc w:val="right"/>
      <w:pPr>
        <w:ind w:left="5160" w:hanging="180"/>
      </w:pPr>
    </w:lvl>
    <w:lvl w:ilvl="6" w:tplc="4009000F" w:tentative="1">
      <w:start w:val="1"/>
      <w:numFmt w:val="decimal"/>
      <w:lvlText w:val="%7."/>
      <w:lvlJc w:val="left"/>
      <w:pPr>
        <w:ind w:left="5880" w:hanging="360"/>
      </w:pPr>
    </w:lvl>
    <w:lvl w:ilvl="7" w:tplc="40090019" w:tentative="1">
      <w:start w:val="1"/>
      <w:numFmt w:val="lowerLetter"/>
      <w:lvlText w:val="%8."/>
      <w:lvlJc w:val="left"/>
      <w:pPr>
        <w:ind w:left="6600" w:hanging="360"/>
      </w:pPr>
    </w:lvl>
    <w:lvl w:ilvl="8" w:tplc="4009001B" w:tentative="1">
      <w:start w:val="1"/>
      <w:numFmt w:val="lowerRoman"/>
      <w:lvlText w:val="%9."/>
      <w:lvlJc w:val="right"/>
      <w:pPr>
        <w:ind w:left="7320" w:hanging="180"/>
      </w:pPr>
    </w:lvl>
  </w:abstractNum>
  <w:abstractNum w:abstractNumId="5" w15:restartNumberingAfterBreak="0">
    <w:nsid w:val="476D770E"/>
    <w:multiLevelType w:val="hybridMultilevel"/>
    <w:tmpl w:val="65E0BB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C3D5A68"/>
    <w:multiLevelType w:val="hybridMultilevel"/>
    <w:tmpl w:val="C8108CB2"/>
    <w:lvl w:ilvl="0" w:tplc="4D449BDC">
      <w:start w:val="1"/>
      <w:numFmt w:val="decimal"/>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7" w15:restartNumberingAfterBreak="0">
    <w:nsid w:val="66436F54"/>
    <w:multiLevelType w:val="hybridMultilevel"/>
    <w:tmpl w:val="72627B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0EC653D"/>
    <w:multiLevelType w:val="hybridMultilevel"/>
    <w:tmpl w:val="3B84B4CA"/>
    <w:lvl w:ilvl="0" w:tplc="40090001">
      <w:start w:val="1"/>
      <w:numFmt w:val="bullet"/>
      <w:lvlText w:val=""/>
      <w:lvlJc w:val="left"/>
      <w:pPr>
        <w:ind w:left="1020" w:hanging="360"/>
      </w:pPr>
      <w:rPr>
        <w:rFonts w:ascii="Symbol" w:hAnsi="Symbol" w:hint="default"/>
      </w:rPr>
    </w:lvl>
    <w:lvl w:ilvl="1" w:tplc="40090003" w:tentative="1">
      <w:start w:val="1"/>
      <w:numFmt w:val="bullet"/>
      <w:lvlText w:val="o"/>
      <w:lvlJc w:val="left"/>
      <w:pPr>
        <w:ind w:left="1740" w:hanging="360"/>
      </w:pPr>
      <w:rPr>
        <w:rFonts w:ascii="Courier New" w:hAnsi="Courier New" w:cs="Courier New" w:hint="default"/>
      </w:rPr>
    </w:lvl>
    <w:lvl w:ilvl="2" w:tplc="40090005" w:tentative="1">
      <w:start w:val="1"/>
      <w:numFmt w:val="bullet"/>
      <w:lvlText w:val=""/>
      <w:lvlJc w:val="left"/>
      <w:pPr>
        <w:ind w:left="2460" w:hanging="360"/>
      </w:pPr>
      <w:rPr>
        <w:rFonts w:ascii="Wingdings" w:hAnsi="Wingdings" w:hint="default"/>
      </w:rPr>
    </w:lvl>
    <w:lvl w:ilvl="3" w:tplc="40090001" w:tentative="1">
      <w:start w:val="1"/>
      <w:numFmt w:val="bullet"/>
      <w:lvlText w:val=""/>
      <w:lvlJc w:val="left"/>
      <w:pPr>
        <w:ind w:left="3180" w:hanging="360"/>
      </w:pPr>
      <w:rPr>
        <w:rFonts w:ascii="Symbol" w:hAnsi="Symbol" w:hint="default"/>
      </w:rPr>
    </w:lvl>
    <w:lvl w:ilvl="4" w:tplc="40090003" w:tentative="1">
      <w:start w:val="1"/>
      <w:numFmt w:val="bullet"/>
      <w:lvlText w:val="o"/>
      <w:lvlJc w:val="left"/>
      <w:pPr>
        <w:ind w:left="3900" w:hanging="360"/>
      </w:pPr>
      <w:rPr>
        <w:rFonts w:ascii="Courier New" w:hAnsi="Courier New" w:cs="Courier New" w:hint="default"/>
      </w:rPr>
    </w:lvl>
    <w:lvl w:ilvl="5" w:tplc="40090005" w:tentative="1">
      <w:start w:val="1"/>
      <w:numFmt w:val="bullet"/>
      <w:lvlText w:val=""/>
      <w:lvlJc w:val="left"/>
      <w:pPr>
        <w:ind w:left="4620" w:hanging="360"/>
      </w:pPr>
      <w:rPr>
        <w:rFonts w:ascii="Wingdings" w:hAnsi="Wingdings" w:hint="default"/>
      </w:rPr>
    </w:lvl>
    <w:lvl w:ilvl="6" w:tplc="40090001" w:tentative="1">
      <w:start w:val="1"/>
      <w:numFmt w:val="bullet"/>
      <w:lvlText w:val=""/>
      <w:lvlJc w:val="left"/>
      <w:pPr>
        <w:ind w:left="5340" w:hanging="360"/>
      </w:pPr>
      <w:rPr>
        <w:rFonts w:ascii="Symbol" w:hAnsi="Symbol" w:hint="default"/>
      </w:rPr>
    </w:lvl>
    <w:lvl w:ilvl="7" w:tplc="40090003" w:tentative="1">
      <w:start w:val="1"/>
      <w:numFmt w:val="bullet"/>
      <w:lvlText w:val="o"/>
      <w:lvlJc w:val="left"/>
      <w:pPr>
        <w:ind w:left="6060" w:hanging="360"/>
      </w:pPr>
      <w:rPr>
        <w:rFonts w:ascii="Courier New" w:hAnsi="Courier New" w:cs="Courier New" w:hint="default"/>
      </w:rPr>
    </w:lvl>
    <w:lvl w:ilvl="8" w:tplc="40090005" w:tentative="1">
      <w:start w:val="1"/>
      <w:numFmt w:val="bullet"/>
      <w:lvlText w:val=""/>
      <w:lvlJc w:val="left"/>
      <w:pPr>
        <w:ind w:left="6780" w:hanging="360"/>
      </w:pPr>
      <w:rPr>
        <w:rFonts w:ascii="Wingdings" w:hAnsi="Wingdings" w:hint="default"/>
      </w:rPr>
    </w:lvl>
  </w:abstractNum>
  <w:num w:numId="1">
    <w:abstractNumId w:val="2"/>
  </w:num>
  <w:num w:numId="2">
    <w:abstractNumId w:val="1"/>
  </w:num>
  <w:num w:numId="3">
    <w:abstractNumId w:val="8"/>
  </w:num>
  <w:num w:numId="4">
    <w:abstractNumId w:val="3"/>
  </w:num>
  <w:num w:numId="5">
    <w:abstractNumId w:val="7"/>
  </w:num>
  <w:num w:numId="6">
    <w:abstractNumId w:val="5"/>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BA"/>
    <w:rsid w:val="00080D74"/>
    <w:rsid w:val="000870AE"/>
    <w:rsid w:val="000A1F4F"/>
    <w:rsid w:val="000B36F7"/>
    <w:rsid w:val="000C05BF"/>
    <w:rsid w:val="001572AE"/>
    <w:rsid w:val="002062D7"/>
    <w:rsid w:val="0023769F"/>
    <w:rsid w:val="002F72FD"/>
    <w:rsid w:val="003258D8"/>
    <w:rsid w:val="003F2F06"/>
    <w:rsid w:val="00504B98"/>
    <w:rsid w:val="005331AF"/>
    <w:rsid w:val="0067781F"/>
    <w:rsid w:val="006D5D23"/>
    <w:rsid w:val="00796C2A"/>
    <w:rsid w:val="007D4BE8"/>
    <w:rsid w:val="009B16A7"/>
    <w:rsid w:val="00A50D9D"/>
    <w:rsid w:val="00A5665D"/>
    <w:rsid w:val="00BF0E50"/>
    <w:rsid w:val="00C675B7"/>
    <w:rsid w:val="00D605BA"/>
    <w:rsid w:val="00E51D44"/>
    <w:rsid w:val="00E848F5"/>
    <w:rsid w:val="00EB1C14"/>
    <w:rsid w:val="00EC4F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5F885-4F2C-44FE-A9E0-268E5E74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5B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5BA"/>
    <w:pPr>
      <w:tabs>
        <w:tab w:val="center" w:pos="4513"/>
        <w:tab w:val="right" w:pos="9026"/>
      </w:tabs>
    </w:pPr>
  </w:style>
  <w:style w:type="character" w:customStyle="1" w:styleId="HeaderChar">
    <w:name w:val="Header Char"/>
    <w:basedOn w:val="DefaultParagraphFont"/>
    <w:link w:val="Header"/>
    <w:uiPriority w:val="99"/>
    <w:rsid w:val="00D605BA"/>
  </w:style>
  <w:style w:type="paragraph" w:styleId="Footer">
    <w:name w:val="footer"/>
    <w:basedOn w:val="Normal"/>
    <w:link w:val="FooterChar"/>
    <w:uiPriority w:val="99"/>
    <w:unhideWhenUsed/>
    <w:rsid w:val="00D605BA"/>
    <w:pPr>
      <w:tabs>
        <w:tab w:val="center" w:pos="4513"/>
        <w:tab w:val="right" w:pos="9026"/>
      </w:tabs>
    </w:pPr>
  </w:style>
  <w:style w:type="character" w:customStyle="1" w:styleId="FooterChar">
    <w:name w:val="Footer Char"/>
    <w:basedOn w:val="DefaultParagraphFont"/>
    <w:link w:val="Footer"/>
    <w:uiPriority w:val="99"/>
    <w:rsid w:val="00D605BA"/>
  </w:style>
  <w:style w:type="paragraph" w:styleId="ListParagraph">
    <w:name w:val="List Paragraph"/>
    <w:basedOn w:val="Normal"/>
    <w:uiPriority w:val="34"/>
    <w:qFormat/>
    <w:rsid w:val="00796C2A"/>
    <w:pPr>
      <w:ind w:left="720"/>
      <w:contextualSpacing/>
    </w:pPr>
  </w:style>
  <w:style w:type="table" w:styleId="TableGrid">
    <w:name w:val="Table Grid"/>
    <w:basedOn w:val="TableNormal"/>
    <w:uiPriority w:val="39"/>
    <w:rsid w:val="003F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w:basedOn w:val="Normal"/>
    <w:link w:val="NormalWebChar"/>
    <w:uiPriority w:val="99"/>
    <w:rsid w:val="00504B98"/>
    <w:pPr>
      <w:spacing w:before="100" w:beforeAutospacing="1" w:after="100" w:afterAutospacing="1"/>
    </w:pPr>
  </w:style>
  <w:style w:type="character" w:customStyle="1" w:styleId="NormalWebChar">
    <w:name w:val="Normal (Web) Char"/>
    <w:aliases w:val=" Char Char"/>
    <w:basedOn w:val="DefaultParagraphFont"/>
    <w:link w:val="NormalWeb"/>
    <w:uiPriority w:val="99"/>
    <w:rsid w:val="00504B9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rumugam\Desktop\new.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rumugam\Desktop\new.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rumugam\Desktop\new.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Current</a:t>
            </a:r>
            <a:r>
              <a:rPr lang="en-US" b="1" baseline="0">
                <a:solidFill>
                  <a:sysClr val="windowText" lastClr="000000"/>
                </a:solidFill>
              </a:rPr>
              <a:t> ratio</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c:f>
              <c:strCache>
                <c:ptCount val="1"/>
                <c:pt idx="0">
                  <c:v>Current Assets</c:v>
                </c:pt>
              </c:strCache>
            </c:strRef>
          </c:tx>
          <c:spPr>
            <a:solidFill>
              <a:schemeClr val="accent1"/>
            </a:solidFill>
            <a:ln>
              <a:noFill/>
            </a:ln>
            <a:effectLst/>
          </c:spPr>
          <c:invertIfNegative val="0"/>
          <c:cat>
            <c:strRef>
              <c:f>Sheet1!$C$4:$C$8</c:f>
              <c:strCache>
                <c:ptCount val="5"/>
                <c:pt idx="0">
                  <c:v>2019-20</c:v>
                </c:pt>
                <c:pt idx="1">
                  <c:v>2020-21</c:v>
                </c:pt>
                <c:pt idx="2">
                  <c:v>2021-22</c:v>
                </c:pt>
                <c:pt idx="3">
                  <c:v>2022-23</c:v>
                </c:pt>
                <c:pt idx="4">
                  <c:v>2023-24</c:v>
                </c:pt>
              </c:strCache>
            </c:strRef>
          </c:cat>
          <c:val>
            <c:numRef>
              <c:f>Sheet1!$D$4:$D$8</c:f>
              <c:numCache>
                <c:formatCode>General</c:formatCode>
                <c:ptCount val="5"/>
                <c:pt idx="0">
                  <c:v>1171.07</c:v>
                </c:pt>
                <c:pt idx="1">
                  <c:v>979.79</c:v>
                </c:pt>
                <c:pt idx="2">
                  <c:v>1429.09</c:v>
                </c:pt>
                <c:pt idx="3">
                  <c:v>1880.66</c:v>
                </c:pt>
                <c:pt idx="4">
                  <c:v>1835.42</c:v>
                </c:pt>
              </c:numCache>
            </c:numRef>
          </c:val>
        </c:ser>
        <c:ser>
          <c:idx val="1"/>
          <c:order val="1"/>
          <c:tx>
            <c:strRef>
              <c:f>Sheet1!$E$3</c:f>
              <c:strCache>
                <c:ptCount val="1"/>
                <c:pt idx="0">
                  <c:v>Current Liabilities</c:v>
                </c:pt>
              </c:strCache>
            </c:strRef>
          </c:tx>
          <c:spPr>
            <a:solidFill>
              <a:schemeClr val="accent2"/>
            </a:solidFill>
            <a:ln>
              <a:noFill/>
            </a:ln>
            <a:effectLst/>
          </c:spPr>
          <c:invertIfNegative val="0"/>
          <c:cat>
            <c:strRef>
              <c:f>Sheet1!$C$4:$C$8</c:f>
              <c:strCache>
                <c:ptCount val="5"/>
                <c:pt idx="0">
                  <c:v>2019-20</c:v>
                </c:pt>
                <c:pt idx="1">
                  <c:v>2020-21</c:v>
                </c:pt>
                <c:pt idx="2">
                  <c:v>2021-22</c:v>
                </c:pt>
                <c:pt idx="3">
                  <c:v>2022-23</c:v>
                </c:pt>
                <c:pt idx="4">
                  <c:v>2023-24</c:v>
                </c:pt>
              </c:strCache>
            </c:strRef>
          </c:cat>
          <c:val>
            <c:numRef>
              <c:f>Sheet1!$E$4:$E$8</c:f>
              <c:numCache>
                <c:formatCode>General</c:formatCode>
                <c:ptCount val="5"/>
                <c:pt idx="0">
                  <c:v>1075.74</c:v>
                </c:pt>
                <c:pt idx="1">
                  <c:v>960.49</c:v>
                </c:pt>
                <c:pt idx="2">
                  <c:v>1393.09</c:v>
                </c:pt>
                <c:pt idx="3">
                  <c:v>1904.05</c:v>
                </c:pt>
                <c:pt idx="4">
                  <c:v>1964.84</c:v>
                </c:pt>
              </c:numCache>
            </c:numRef>
          </c:val>
        </c:ser>
        <c:ser>
          <c:idx val="2"/>
          <c:order val="2"/>
          <c:tx>
            <c:strRef>
              <c:f>Sheet1!$F$3</c:f>
              <c:strCache>
                <c:ptCount val="1"/>
                <c:pt idx="0">
                  <c:v>Current ratio</c:v>
                </c:pt>
              </c:strCache>
            </c:strRef>
          </c:tx>
          <c:spPr>
            <a:solidFill>
              <a:schemeClr val="accent3"/>
            </a:solidFill>
            <a:ln>
              <a:noFill/>
            </a:ln>
            <a:effectLst/>
          </c:spPr>
          <c:invertIfNegative val="0"/>
          <c:cat>
            <c:strRef>
              <c:f>Sheet1!$C$4:$C$8</c:f>
              <c:strCache>
                <c:ptCount val="5"/>
                <c:pt idx="0">
                  <c:v>2019-20</c:v>
                </c:pt>
                <c:pt idx="1">
                  <c:v>2020-21</c:v>
                </c:pt>
                <c:pt idx="2">
                  <c:v>2021-22</c:v>
                </c:pt>
                <c:pt idx="3">
                  <c:v>2022-23</c:v>
                </c:pt>
                <c:pt idx="4">
                  <c:v>2023-24</c:v>
                </c:pt>
              </c:strCache>
            </c:strRef>
          </c:cat>
          <c:val>
            <c:numRef>
              <c:f>Sheet1!$F$4:$F$8</c:f>
              <c:numCache>
                <c:formatCode>General</c:formatCode>
                <c:ptCount val="5"/>
                <c:pt idx="0">
                  <c:v>1.0886</c:v>
                </c:pt>
                <c:pt idx="1">
                  <c:v>1.0201</c:v>
                </c:pt>
                <c:pt idx="2">
                  <c:v>1.0258</c:v>
                </c:pt>
                <c:pt idx="3">
                  <c:v>0.98760000000000003</c:v>
                </c:pt>
                <c:pt idx="4">
                  <c:v>0.93410000000000004</c:v>
                </c:pt>
              </c:numCache>
            </c:numRef>
          </c:val>
        </c:ser>
        <c:dLbls>
          <c:showLegendKey val="0"/>
          <c:showVal val="0"/>
          <c:showCatName val="0"/>
          <c:showSerName val="0"/>
          <c:showPercent val="0"/>
          <c:showBubbleSize val="0"/>
        </c:dLbls>
        <c:gapWidth val="219"/>
        <c:overlap val="-27"/>
        <c:axId val="2131231248"/>
        <c:axId val="2131233968"/>
      </c:barChart>
      <c:catAx>
        <c:axId val="213123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233968"/>
        <c:crosses val="autoZero"/>
        <c:auto val="1"/>
        <c:lblAlgn val="ctr"/>
        <c:lblOffset val="100"/>
        <c:noMultiLvlLbl val="0"/>
      </c:catAx>
      <c:valAx>
        <c:axId val="213123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23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rPr>
              <a:t>Liquid</a:t>
            </a:r>
            <a:r>
              <a:rPr lang="en-IN" b="1" baseline="0">
                <a:solidFill>
                  <a:sysClr val="windowText" lastClr="000000"/>
                </a:solidFill>
              </a:rPr>
              <a:t> ratio</a:t>
            </a:r>
            <a:endParaRPr lang="en-IN"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Sheet1!$D$2</c:f>
              <c:strCache>
                <c:ptCount val="1"/>
                <c:pt idx="0">
                  <c:v>Liquid Asset</c:v>
                </c:pt>
              </c:strCache>
            </c:strRef>
          </c:tx>
          <c:spPr>
            <a:solidFill>
              <a:schemeClr val="accent1"/>
            </a:solidFill>
            <a:ln>
              <a:noFill/>
            </a:ln>
            <a:effectLst/>
            <a:sp3d/>
          </c:spPr>
          <c:invertIfNegative val="0"/>
          <c:cat>
            <c:strRef>
              <c:f>Sheet1!$C$3:$C$7</c:f>
              <c:strCache>
                <c:ptCount val="5"/>
                <c:pt idx="0">
                  <c:v>2019-20</c:v>
                </c:pt>
                <c:pt idx="1">
                  <c:v>2020-21</c:v>
                </c:pt>
                <c:pt idx="2">
                  <c:v>2021-22</c:v>
                </c:pt>
                <c:pt idx="3">
                  <c:v>2022-23</c:v>
                </c:pt>
                <c:pt idx="4">
                  <c:v>2023-24</c:v>
                </c:pt>
              </c:strCache>
            </c:strRef>
          </c:cat>
          <c:val>
            <c:numRef>
              <c:f>Sheet1!$D$3:$D$7</c:f>
              <c:numCache>
                <c:formatCode>General</c:formatCode>
                <c:ptCount val="5"/>
                <c:pt idx="0">
                  <c:v>735.9</c:v>
                </c:pt>
                <c:pt idx="1">
                  <c:v>568.13</c:v>
                </c:pt>
                <c:pt idx="2">
                  <c:v>881.22</c:v>
                </c:pt>
                <c:pt idx="3">
                  <c:v>1080.78</c:v>
                </c:pt>
                <c:pt idx="4">
                  <c:v>991.15</c:v>
                </c:pt>
              </c:numCache>
            </c:numRef>
          </c:val>
        </c:ser>
        <c:ser>
          <c:idx val="1"/>
          <c:order val="1"/>
          <c:tx>
            <c:strRef>
              <c:f>Sheet1!$E$2</c:f>
              <c:strCache>
                <c:ptCount val="1"/>
                <c:pt idx="0">
                  <c:v>Quick liabilities</c:v>
                </c:pt>
              </c:strCache>
            </c:strRef>
          </c:tx>
          <c:spPr>
            <a:solidFill>
              <a:schemeClr val="accent2"/>
            </a:solidFill>
            <a:ln>
              <a:noFill/>
            </a:ln>
            <a:effectLst/>
            <a:sp3d/>
          </c:spPr>
          <c:invertIfNegative val="0"/>
          <c:cat>
            <c:strRef>
              <c:f>Sheet1!$C$3:$C$7</c:f>
              <c:strCache>
                <c:ptCount val="5"/>
                <c:pt idx="0">
                  <c:v>2019-20</c:v>
                </c:pt>
                <c:pt idx="1">
                  <c:v>2020-21</c:v>
                </c:pt>
                <c:pt idx="2">
                  <c:v>2021-22</c:v>
                </c:pt>
                <c:pt idx="3">
                  <c:v>2022-23</c:v>
                </c:pt>
                <c:pt idx="4">
                  <c:v>2023-24</c:v>
                </c:pt>
              </c:strCache>
            </c:strRef>
          </c:cat>
          <c:val>
            <c:numRef>
              <c:f>Sheet1!$E$3:$E$7</c:f>
              <c:numCache>
                <c:formatCode>General</c:formatCode>
                <c:ptCount val="5"/>
                <c:pt idx="0">
                  <c:v>1075.74</c:v>
                </c:pt>
                <c:pt idx="1">
                  <c:v>960.49</c:v>
                </c:pt>
                <c:pt idx="2">
                  <c:v>1393.09</c:v>
                </c:pt>
                <c:pt idx="3">
                  <c:v>1904.05</c:v>
                </c:pt>
                <c:pt idx="4">
                  <c:v>1964.84</c:v>
                </c:pt>
              </c:numCache>
            </c:numRef>
          </c:val>
        </c:ser>
        <c:ser>
          <c:idx val="2"/>
          <c:order val="2"/>
          <c:tx>
            <c:strRef>
              <c:f>Sheet1!$F$2</c:f>
              <c:strCache>
                <c:ptCount val="1"/>
                <c:pt idx="0">
                  <c:v>Liquid ratio</c:v>
                </c:pt>
              </c:strCache>
            </c:strRef>
          </c:tx>
          <c:spPr>
            <a:solidFill>
              <a:schemeClr val="accent3"/>
            </a:solidFill>
            <a:ln>
              <a:noFill/>
            </a:ln>
            <a:effectLst/>
            <a:sp3d/>
          </c:spPr>
          <c:invertIfNegative val="0"/>
          <c:cat>
            <c:strRef>
              <c:f>Sheet1!$C$3:$C$7</c:f>
              <c:strCache>
                <c:ptCount val="5"/>
                <c:pt idx="0">
                  <c:v>2019-20</c:v>
                </c:pt>
                <c:pt idx="1">
                  <c:v>2020-21</c:v>
                </c:pt>
                <c:pt idx="2">
                  <c:v>2021-22</c:v>
                </c:pt>
                <c:pt idx="3">
                  <c:v>2022-23</c:v>
                </c:pt>
                <c:pt idx="4">
                  <c:v>2023-24</c:v>
                </c:pt>
              </c:strCache>
            </c:strRef>
          </c:cat>
          <c:val>
            <c:numRef>
              <c:f>Sheet1!$F$3:$F$7</c:f>
              <c:numCache>
                <c:formatCode>General</c:formatCode>
                <c:ptCount val="5"/>
                <c:pt idx="0">
                  <c:v>0.68410000000000004</c:v>
                </c:pt>
                <c:pt idx="1">
                  <c:v>0.59150000000000003</c:v>
                </c:pt>
                <c:pt idx="2">
                  <c:v>0.63260000000000005</c:v>
                </c:pt>
                <c:pt idx="3">
                  <c:v>0.56759999999999999</c:v>
                </c:pt>
                <c:pt idx="4">
                  <c:v>0.50439999999999996</c:v>
                </c:pt>
              </c:numCache>
            </c:numRef>
          </c:val>
        </c:ser>
        <c:dLbls>
          <c:showLegendKey val="0"/>
          <c:showVal val="0"/>
          <c:showCatName val="0"/>
          <c:showSerName val="0"/>
          <c:showPercent val="0"/>
          <c:showBubbleSize val="0"/>
        </c:dLbls>
        <c:gapWidth val="150"/>
        <c:shape val="box"/>
        <c:axId val="2131241584"/>
        <c:axId val="2131236688"/>
        <c:axId val="0"/>
      </c:bar3DChart>
      <c:catAx>
        <c:axId val="2131241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236688"/>
        <c:crosses val="autoZero"/>
        <c:auto val="1"/>
        <c:lblAlgn val="ctr"/>
        <c:lblOffset val="100"/>
        <c:noMultiLvlLbl val="0"/>
      </c:catAx>
      <c:valAx>
        <c:axId val="2131236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241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b="1" cap="none">
                <a:solidFill>
                  <a:sysClr val="windowText" lastClr="000000"/>
                </a:solidFill>
              </a:rPr>
              <a:t>Absolute</a:t>
            </a:r>
            <a:r>
              <a:rPr lang="en-US" b="1" cap="none" baseline="0">
                <a:solidFill>
                  <a:sysClr val="windowText" lastClr="000000"/>
                </a:solidFill>
              </a:rPr>
              <a:t> Liquid Assets</a:t>
            </a:r>
            <a:endParaRPr lang="en-US" b="1" cap="none">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Sheet1!$F$4</c:f>
              <c:strCache>
                <c:ptCount val="1"/>
                <c:pt idx="0">
                  <c:v>Absolute Liquid Assets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Sheet1!$E$5:$E$9</c:f>
              <c:strCache>
                <c:ptCount val="5"/>
                <c:pt idx="0">
                  <c:v>2019-20</c:v>
                </c:pt>
                <c:pt idx="1">
                  <c:v>2020-21</c:v>
                </c:pt>
                <c:pt idx="2">
                  <c:v>2021-22</c:v>
                </c:pt>
                <c:pt idx="3">
                  <c:v>2022-23</c:v>
                </c:pt>
                <c:pt idx="4">
                  <c:v>2023-24</c:v>
                </c:pt>
              </c:strCache>
            </c:strRef>
          </c:cat>
          <c:val>
            <c:numRef>
              <c:f>Sheet1!$F$5:$F$9</c:f>
              <c:numCache>
                <c:formatCode>General</c:formatCode>
                <c:ptCount val="5"/>
                <c:pt idx="0">
                  <c:v>8.93</c:v>
                </c:pt>
                <c:pt idx="1">
                  <c:v>6.04</c:v>
                </c:pt>
                <c:pt idx="2">
                  <c:v>3.47</c:v>
                </c:pt>
                <c:pt idx="3">
                  <c:v>4.2300000000000004</c:v>
                </c:pt>
                <c:pt idx="4">
                  <c:v>4.6399999999999997</c:v>
                </c:pt>
              </c:numCache>
            </c:numRef>
          </c:val>
        </c:ser>
        <c:ser>
          <c:idx val="1"/>
          <c:order val="1"/>
          <c:tx>
            <c:strRef>
              <c:f>Sheet1!$G$4</c:f>
              <c:strCache>
                <c:ptCount val="1"/>
                <c:pt idx="0">
                  <c:v>Quick Liabilities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Sheet1!$E$5:$E$9</c:f>
              <c:strCache>
                <c:ptCount val="5"/>
                <c:pt idx="0">
                  <c:v>2019-20</c:v>
                </c:pt>
                <c:pt idx="1">
                  <c:v>2020-21</c:v>
                </c:pt>
                <c:pt idx="2">
                  <c:v>2021-22</c:v>
                </c:pt>
                <c:pt idx="3">
                  <c:v>2022-23</c:v>
                </c:pt>
                <c:pt idx="4">
                  <c:v>2023-24</c:v>
                </c:pt>
              </c:strCache>
            </c:strRef>
          </c:cat>
          <c:val>
            <c:numRef>
              <c:f>Sheet1!$G$5:$G$9</c:f>
              <c:numCache>
                <c:formatCode>General</c:formatCode>
                <c:ptCount val="5"/>
                <c:pt idx="0">
                  <c:v>991.73</c:v>
                </c:pt>
                <c:pt idx="1">
                  <c:v>868.23</c:v>
                </c:pt>
                <c:pt idx="2">
                  <c:v>1242.98</c:v>
                </c:pt>
                <c:pt idx="3">
                  <c:v>1743.36</c:v>
                </c:pt>
                <c:pt idx="4">
                  <c:v>1795.26</c:v>
                </c:pt>
              </c:numCache>
            </c:numRef>
          </c:val>
        </c:ser>
        <c:ser>
          <c:idx val="2"/>
          <c:order val="2"/>
          <c:tx>
            <c:strRef>
              <c:f>Sheet1!$H$4</c:f>
              <c:strCache>
                <c:ptCount val="1"/>
                <c:pt idx="0">
                  <c:v>Absolute Liquid Assets ratio</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Sheet1!$E$5:$E$9</c:f>
              <c:strCache>
                <c:ptCount val="5"/>
                <c:pt idx="0">
                  <c:v>2019-20</c:v>
                </c:pt>
                <c:pt idx="1">
                  <c:v>2020-21</c:v>
                </c:pt>
                <c:pt idx="2">
                  <c:v>2021-22</c:v>
                </c:pt>
                <c:pt idx="3">
                  <c:v>2022-23</c:v>
                </c:pt>
                <c:pt idx="4">
                  <c:v>2023-24</c:v>
                </c:pt>
              </c:strCache>
            </c:strRef>
          </c:cat>
          <c:val>
            <c:numRef>
              <c:f>Sheet1!$H$5:$H$9</c:f>
              <c:numCache>
                <c:formatCode>General</c:formatCode>
                <c:ptCount val="5"/>
                <c:pt idx="0">
                  <c:v>8.9999999999999993E-3</c:v>
                </c:pt>
                <c:pt idx="1">
                  <c:v>7.0000000000000001E-3</c:v>
                </c:pt>
                <c:pt idx="2">
                  <c:v>2.8E-3</c:v>
                </c:pt>
                <c:pt idx="3">
                  <c:v>2.3999999999999998E-3</c:v>
                </c:pt>
                <c:pt idx="4">
                  <c:v>2.5999999999999999E-3</c:v>
                </c:pt>
              </c:numCache>
            </c:numRef>
          </c:val>
        </c:ser>
        <c:dLbls>
          <c:dLblPos val="outEnd"/>
          <c:showLegendKey val="0"/>
          <c:showVal val="1"/>
          <c:showCatName val="0"/>
          <c:showSerName val="0"/>
          <c:showPercent val="0"/>
          <c:showBubbleSize val="0"/>
        </c:dLbls>
        <c:gapWidth val="444"/>
        <c:overlap val="-90"/>
        <c:axId val="2131237232"/>
        <c:axId val="2131231792"/>
      </c:barChart>
      <c:catAx>
        <c:axId val="2131237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131231792"/>
        <c:crosses val="autoZero"/>
        <c:auto val="1"/>
        <c:lblAlgn val="ctr"/>
        <c:lblOffset val="100"/>
        <c:noMultiLvlLbl val="0"/>
      </c:catAx>
      <c:valAx>
        <c:axId val="2131231792"/>
        <c:scaling>
          <c:orientation val="minMax"/>
        </c:scaling>
        <c:delete val="1"/>
        <c:axPos val="l"/>
        <c:numFmt formatCode="General" sourceLinked="1"/>
        <c:majorTickMark val="none"/>
        <c:minorTickMark val="none"/>
        <c:tickLblPos val="nextTo"/>
        <c:crossAx val="21312372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b="1" cap="none">
                <a:solidFill>
                  <a:sysClr val="windowText" lastClr="000000"/>
                </a:solidFill>
              </a:rPr>
              <a:t>Debt Equity ratio</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Sheet1!$F$2</c:f>
              <c:strCache>
                <c:ptCount val="1"/>
                <c:pt idx="0">
                  <c:v>Long-term debt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Sheet1!$E$3:$E$7</c:f>
              <c:strCache>
                <c:ptCount val="5"/>
                <c:pt idx="0">
                  <c:v>2019-20</c:v>
                </c:pt>
                <c:pt idx="1">
                  <c:v>2020-21</c:v>
                </c:pt>
                <c:pt idx="2">
                  <c:v>2021-22</c:v>
                </c:pt>
                <c:pt idx="3">
                  <c:v>2022-23</c:v>
                </c:pt>
                <c:pt idx="4">
                  <c:v>2023-24</c:v>
                </c:pt>
              </c:strCache>
            </c:strRef>
          </c:cat>
          <c:val>
            <c:numRef>
              <c:f>Sheet1!$F$3:$F$7</c:f>
              <c:numCache>
                <c:formatCode>General</c:formatCode>
                <c:ptCount val="5"/>
                <c:pt idx="0">
                  <c:v>168.38</c:v>
                </c:pt>
                <c:pt idx="1">
                  <c:v>236.31</c:v>
                </c:pt>
                <c:pt idx="2">
                  <c:v>303.94</c:v>
                </c:pt>
                <c:pt idx="3">
                  <c:v>237.67</c:v>
                </c:pt>
                <c:pt idx="4">
                  <c:v>183.51</c:v>
                </c:pt>
              </c:numCache>
            </c:numRef>
          </c:val>
        </c:ser>
        <c:ser>
          <c:idx val="1"/>
          <c:order val="1"/>
          <c:tx>
            <c:strRef>
              <c:f>Sheet1!$G$2</c:f>
              <c:strCache>
                <c:ptCount val="1"/>
                <c:pt idx="0">
                  <c:v>Shareholders fund</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Sheet1!$E$3:$E$7</c:f>
              <c:strCache>
                <c:ptCount val="5"/>
                <c:pt idx="0">
                  <c:v>2019-20</c:v>
                </c:pt>
                <c:pt idx="1">
                  <c:v>2020-21</c:v>
                </c:pt>
                <c:pt idx="2">
                  <c:v>2021-22</c:v>
                </c:pt>
                <c:pt idx="3">
                  <c:v>2022-23</c:v>
                </c:pt>
                <c:pt idx="4">
                  <c:v>2023-24</c:v>
                </c:pt>
              </c:strCache>
            </c:strRef>
          </c:cat>
          <c:val>
            <c:numRef>
              <c:f>Sheet1!$G$3:$G$7</c:f>
              <c:numCache>
                <c:formatCode>General</c:formatCode>
                <c:ptCount val="5"/>
                <c:pt idx="0">
                  <c:v>24.06</c:v>
                </c:pt>
                <c:pt idx="1">
                  <c:v>24.06</c:v>
                </c:pt>
                <c:pt idx="2">
                  <c:v>24.06</c:v>
                </c:pt>
                <c:pt idx="3">
                  <c:v>24.06</c:v>
                </c:pt>
                <c:pt idx="4">
                  <c:v>24.06</c:v>
                </c:pt>
              </c:numCache>
            </c:numRef>
          </c:val>
        </c:ser>
        <c:ser>
          <c:idx val="2"/>
          <c:order val="2"/>
          <c:tx>
            <c:strRef>
              <c:f>Sheet1!$H$2</c:f>
              <c:strCache>
                <c:ptCount val="1"/>
                <c:pt idx="0">
                  <c:v>Debt-Equity ratio</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Sheet1!$E$3:$E$7</c:f>
              <c:strCache>
                <c:ptCount val="5"/>
                <c:pt idx="0">
                  <c:v>2019-20</c:v>
                </c:pt>
                <c:pt idx="1">
                  <c:v>2020-21</c:v>
                </c:pt>
                <c:pt idx="2">
                  <c:v>2021-22</c:v>
                </c:pt>
                <c:pt idx="3">
                  <c:v>2022-23</c:v>
                </c:pt>
                <c:pt idx="4">
                  <c:v>2023-24</c:v>
                </c:pt>
              </c:strCache>
            </c:strRef>
          </c:cat>
          <c:val>
            <c:numRef>
              <c:f>Sheet1!$H$3:$H$7</c:f>
              <c:numCache>
                <c:formatCode>General</c:formatCode>
                <c:ptCount val="5"/>
                <c:pt idx="0">
                  <c:v>6.9983000000000004</c:v>
                </c:pt>
                <c:pt idx="1">
                  <c:v>9.8216999999999999</c:v>
                </c:pt>
                <c:pt idx="2">
                  <c:v>12.6326</c:v>
                </c:pt>
                <c:pt idx="3">
                  <c:v>9.8781999999999996</c:v>
                </c:pt>
                <c:pt idx="4">
                  <c:v>7.6272000000000002</c:v>
                </c:pt>
              </c:numCache>
            </c:numRef>
          </c:val>
        </c:ser>
        <c:dLbls>
          <c:dLblPos val="outEnd"/>
          <c:showLegendKey val="0"/>
          <c:showVal val="1"/>
          <c:showCatName val="0"/>
          <c:showSerName val="0"/>
          <c:showPercent val="0"/>
          <c:showBubbleSize val="0"/>
        </c:dLbls>
        <c:gapWidth val="444"/>
        <c:overlap val="-90"/>
        <c:axId val="2131233424"/>
        <c:axId val="2131237776"/>
      </c:barChart>
      <c:catAx>
        <c:axId val="2131233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131237776"/>
        <c:crosses val="autoZero"/>
        <c:auto val="1"/>
        <c:lblAlgn val="ctr"/>
        <c:lblOffset val="100"/>
        <c:noMultiLvlLbl val="0"/>
      </c:catAx>
      <c:valAx>
        <c:axId val="2131237776"/>
        <c:scaling>
          <c:orientation val="minMax"/>
        </c:scaling>
        <c:delete val="1"/>
        <c:axPos val="l"/>
        <c:numFmt formatCode="General" sourceLinked="1"/>
        <c:majorTickMark val="none"/>
        <c:minorTickMark val="none"/>
        <c:tickLblPos val="nextTo"/>
        <c:crossAx val="21312334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b="1" cap="none">
                <a:solidFill>
                  <a:sysClr val="windowText" lastClr="000000"/>
                </a:solidFill>
              </a:rPr>
              <a:t>Proprietary ratio</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Sheet1!$F$19</c:f>
              <c:strCache>
                <c:ptCount val="1"/>
                <c:pt idx="0">
                  <c:v>Years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Sheet1!$F$20:$F$25</c:f>
              <c:numCache>
                <c:formatCode>General</c:formatCode>
                <c:ptCount val="6"/>
                <c:pt idx="0">
                  <c:v>0</c:v>
                </c:pt>
                <c:pt idx="1">
                  <c:v>0</c:v>
                </c:pt>
                <c:pt idx="2">
                  <c:v>0</c:v>
                </c:pt>
                <c:pt idx="3">
                  <c:v>0</c:v>
                </c:pt>
                <c:pt idx="4">
                  <c:v>0</c:v>
                </c:pt>
              </c:numCache>
            </c:numRef>
          </c:val>
        </c:ser>
        <c:ser>
          <c:idx val="1"/>
          <c:order val="1"/>
          <c:tx>
            <c:strRef>
              <c:f>Sheet1!$G$19</c:f>
              <c:strCache>
                <c:ptCount val="1"/>
                <c:pt idx="0">
                  <c:v>Shareholders fund</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Sheet1!$G$20:$G$25</c:f>
              <c:numCache>
                <c:formatCode>General</c:formatCode>
                <c:ptCount val="6"/>
                <c:pt idx="0">
                  <c:v>24.06</c:v>
                </c:pt>
                <c:pt idx="1">
                  <c:v>24.06</c:v>
                </c:pt>
                <c:pt idx="2">
                  <c:v>24.06</c:v>
                </c:pt>
                <c:pt idx="3">
                  <c:v>24.06</c:v>
                </c:pt>
                <c:pt idx="4">
                  <c:v>24.06</c:v>
                </c:pt>
              </c:numCache>
            </c:numRef>
          </c:val>
        </c:ser>
        <c:ser>
          <c:idx val="2"/>
          <c:order val="2"/>
          <c:tx>
            <c:strRef>
              <c:f>Sheet1!$H$19</c:f>
              <c:strCache>
                <c:ptCount val="1"/>
                <c:pt idx="0">
                  <c:v>Total Tangible Assets</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Sheet1!$H$20:$H$25</c:f>
              <c:numCache>
                <c:formatCode>General</c:formatCode>
                <c:ptCount val="6"/>
                <c:pt idx="0">
                  <c:v>1802.97</c:v>
                </c:pt>
                <c:pt idx="1">
                  <c:v>1761.56</c:v>
                </c:pt>
                <c:pt idx="2">
                  <c:v>2217.8000000000002</c:v>
                </c:pt>
                <c:pt idx="3">
                  <c:v>2729.18</c:v>
                </c:pt>
                <c:pt idx="4">
                  <c:v>2767.32</c:v>
                </c:pt>
              </c:numCache>
            </c:numRef>
          </c:val>
        </c:ser>
        <c:ser>
          <c:idx val="3"/>
          <c:order val="3"/>
          <c:tx>
            <c:strRef>
              <c:f>Sheet1!$I$19</c:f>
              <c:strCache>
                <c:ptCount val="1"/>
                <c:pt idx="0">
                  <c:v>Proprietary ratio</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Sheet1!$I$20:$I$25</c:f>
              <c:numCache>
                <c:formatCode>General</c:formatCode>
                <c:ptCount val="6"/>
                <c:pt idx="0">
                  <c:v>1.3299999999999999E-2</c:v>
                </c:pt>
                <c:pt idx="1">
                  <c:v>1.37E-2</c:v>
                </c:pt>
                <c:pt idx="2">
                  <c:v>1.0800000000000001E-2</c:v>
                </c:pt>
                <c:pt idx="3">
                  <c:v>8.8000000000000005E-3</c:v>
                </c:pt>
                <c:pt idx="4">
                  <c:v>8.6999999999999994E-3</c:v>
                </c:pt>
              </c:numCache>
            </c:numRef>
          </c:val>
        </c:ser>
        <c:dLbls>
          <c:dLblPos val="outEnd"/>
          <c:showLegendKey val="0"/>
          <c:showVal val="1"/>
          <c:showCatName val="0"/>
          <c:showSerName val="0"/>
          <c:showPercent val="0"/>
          <c:showBubbleSize val="0"/>
        </c:dLbls>
        <c:gapWidth val="444"/>
        <c:overlap val="-90"/>
        <c:axId val="2131234512"/>
        <c:axId val="2131238320"/>
      </c:barChart>
      <c:catAx>
        <c:axId val="2131234512"/>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131238320"/>
        <c:crosses val="autoZero"/>
        <c:auto val="1"/>
        <c:lblAlgn val="ctr"/>
        <c:lblOffset val="100"/>
        <c:noMultiLvlLbl val="0"/>
      </c:catAx>
      <c:valAx>
        <c:axId val="2131238320"/>
        <c:scaling>
          <c:orientation val="minMax"/>
        </c:scaling>
        <c:delete val="1"/>
        <c:axPos val="l"/>
        <c:numFmt formatCode="General" sourceLinked="1"/>
        <c:majorTickMark val="none"/>
        <c:minorTickMark val="none"/>
        <c:tickLblPos val="nextTo"/>
        <c:crossAx val="21312345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11</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Arumugam</dc:creator>
  <cp:keywords/>
  <dc:description/>
  <cp:lastModifiedBy>Arumugam</cp:lastModifiedBy>
  <cp:revision>25</cp:revision>
  <dcterms:created xsi:type="dcterms:W3CDTF">2024-05-28T14:22:00Z</dcterms:created>
  <dcterms:modified xsi:type="dcterms:W3CDTF">2024-05-31T07:10:00Z</dcterms:modified>
</cp:coreProperties>
</file>